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41C62">
      <w:pPr>
        <w:snapToGrid w:val="0"/>
        <w:spacing w:line="560" w:lineRule="exact"/>
        <w:jc w:val="center"/>
        <w:rPr>
          <w:rFonts w:hint="eastAsia" w:ascii="方正小标宋简体" w:hAnsi="黑体" w:eastAsia="方正小标宋简体"/>
          <w:bCs/>
          <w:color w:val="000000" w:themeColor="text1"/>
          <w:kern w:val="0"/>
          <w:sz w:val="36"/>
          <w:szCs w:val="44"/>
          <w:lang w:eastAsia="zh-CN"/>
          <w14:textFill>
            <w14:solidFill>
              <w14:schemeClr w14:val="tx1"/>
            </w14:solidFill>
          </w14:textFill>
        </w:rPr>
      </w:pPr>
      <w:bookmarkStart w:id="0" w:name="_Toc391074325"/>
      <w:bookmarkStart w:id="1" w:name="_Toc440050974"/>
      <w:bookmarkStart w:id="2" w:name="_Toc405812696"/>
    </w:p>
    <w:p w14:paraId="343A4CB6">
      <w:pPr>
        <w:jc w:val="both"/>
        <w:rPr>
          <w:rFonts w:hint="eastAsia" w:ascii="方正小标宋简体" w:hAnsi="方正小标宋简体" w:eastAsia="方正小标宋简体" w:cs="方正小标宋简体"/>
          <w:sz w:val="72"/>
          <w:szCs w:val="72"/>
        </w:rPr>
      </w:pPr>
    </w:p>
    <w:p w14:paraId="0B193535">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兰州科技职业学院</w:t>
      </w:r>
    </w:p>
    <w:p w14:paraId="514493A5">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rPr>
        <w:t>大数据与会计专业</w:t>
      </w:r>
      <w:r>
        <w:rPr>
          <w:rFonts w:hint="eastAsia" w:ascii="方正小标宋简体" w:hAnsi="方正小标宋简体" w:eastAsia="方正小标宋简体" w:cs="方正小标宋简体"/>
          <w:sz w:val="52"/>
          <w:szCs w:val="52"/>
          <w:lang w:val="en-US" w:eastAsia="zh-CN"/>
        </w:rPr>
        <w:t>人才培养方案</w:t>
      </w:r>
    </w:p>
    <w:p w14:paraId="684EC914">
      <w:pPr>
        <w:jc w:val="center"/>
        <w:rPr>
          <w:rFonts w:hint="eastAsia" w:ascii="方正小标宋简体" w:hAnsi="方正小标宋简体" w:eastAsia="方正小标宋简体" w:cs="方正小标宋简体"/>
          <w:sz w:val="52"/>
          <w:szCs w:val="52"/>
          <w:lang w:val="en-US" w:eastAsia="zh-CN"/>
        </w:rPr>
      </w:pPr>
    </w:p>
    <w:p w14:paraId="7F252FB2">
      <w:pPr>
        <w:jc w:val="center"/>
        <w:rPr>
          <w:rFonts w:hint="eastAsia" w:ascii="方正小标宋简体" w:hAnsi="方正小标宋简体" w:eastAsia="方正小标宋简体" w:cs="方正小标宋简体"/>
          <w:sz w:val="52"/>
          <w:szCs w:val="52"/>
          <w:lang w:val="en-US" w:eastAsia="zh-CN"/>
        </w:rPr>
      </w:pPr>
    </w:p>
    <w:p w14:paraId="59AC5A67">
      <w:pPr>
        <w:jc w:val="center"/>
        <w:rPr>
          <w:rFonts w:hint="eastAsia" w:ascii="方正小标宋简体" w:hAnsi="方正小标宋简体" w:eastAsia="方正小标宋简体" w:cs="方正小标宋简体"/>
          <w:sz w:val="52"/>
          <w:szCs w:val="52"/>
          <w:lang w:val="en-US" w:eastAsia="zh-CN"/>
        </w:rPr>
      </w:pPr>
    </w:p>
    <w:p w14:paraId="59DFF73D">
      <w:pPr>
        <w:jc w:val="center"/>
        <w:rPr>
          <w:rFonts w:hint="eastAsia" w:ascii="方正小标宋简体" w:hAnsi="方正小标宋简体" w:eastAsia="方正小标宋简体" w:cs="方正小标宋简体"/>
          <w:sz w:val="52"/>
          <w:szCs w:val="52"/>
          <w:lang w:val="en-US" w:eastAsia="zh-CN"/>
        </w:rPr>
      </w:pPr>
    </w:p>
    <w:p w14:paraId="598F88D6">
      <w:pPr>
        <w:keepNext w:val="0"/>
        <w:keepLines w:val="0"/>
        <w:pageBreakBefore w:val="0"/>
        <w:widowControl w:val="0"/>
        <w:kinsoku/>
        <w:wordWrap/>
        <w:overflowPunct/>
        <w:topLinePunct w:val="0"/>
        <w:autoSpaceDE/>
        <w:autoSpaceDN/>
        <w:bidi w:val="0"/>
        <w:adjustRightInd/>
        <w:snapToGrid/>
        <w:spacing w:line="800" w:lineRule="exact"/>
        <w:ind w:firstLine="1800" w:firstLineChars="500"/>
        <w:jc w:val="left"/>
        <w:textAlignment w:val="auto"/>
        <w:rPr>
          <w:rFonts w:hint="eastAsia" w:ascii="仿宋" w:hAnsi="仿宋" w:eastAsia="仿宋" w:cs="仿宋"/>
          <w:sz w:val="36"/>
          <w:szCs w:val="36"/>
          <w:u w:val="single"/>
          <w:lang w:val="en-US" w:eastAsia="zh-CN"/>
        </w:rPr>
      </w:pPr>
      <w:r>
        <w:rPr>
          <w:rFonts w:hint="eastAsia" w:ascii="仿宋" w:hAnsi="仿宋" w:eastAsia="仿宋" w:cs="仿宋"/>
          <w:sz w:val="36"/>
          <w:szCs w:val="36"/>
          <w:lang w:val="en-US" w:eastAsia="zh-CN"/>
        </w:rPr>
        <w:t>专业名称:</w:t>
      </w:r>
      <w:r>
        <w:rPr>
          <w:rFonts w:hint="eastAsia" w:ascii="仿宋" w:hAnsi="仿宋" w:eastAsia="仿宋" w:cs="仿宋"/>
          <w:sz w:val="36"/>
          <w:szCs w:val="36"/>
          <w:u w:val="single"/>
          <w:lang w:val="en-US" w:eastAsia="zh-CN"/>
        </w:rPr>
        <w:t xml:space="preserve">  大数据与会计 </w:t>
      </w:r>
    </w:p>
    <w:p w14:paraId="655A8401">
      <w:pPr>
        <w:keepNext w:val="0"/>
        <w:keepLines w:val="0"/>
        <w:pageBreakBefore w:val="0"/>
        <w:widowControl w:val="0"/>
        <w:kinsoku/>
        <w:wordWrap/>
        <w:overflowPunct/>
        <w:topLinePunct w:val="0"/>
        <w:autoSpaceDE/>
        <w:autoSpaceDN/>
        <w:bidi w:val="0"/>
        <w:adjustRightInd/>
        <w:snapToGrid/>
        <w:spacing w:line="800" w:lineRule="exact"/>
        <w:ind w:firstLine="1800" w:firstLineChars="500"/>
        <w:jc w:val="left"/>
        <w:textAlignment w:val="auto"/>
        <w:rPr>
          <w:rFonts w:hint="default" w:ascii="仿宋" w:hAnsi="仿宋" w:eastAsia="仿宋" w:cs="仿宋"/>
          <w:sz w:val="36"/>
          <w:szCs w:val="36"/>
          <w:u w:val="single"/>
          <w:lang w:val="en-US" w:eastAsia="zh-CN"/>
        </w:rPr>
      </w:pPr>
      <w:r>
        <w:rPr>
          <w:rFonts w:hint="eastAsia" w:ascii="仿宋" w:hAnsi="仿宋" w:eastAsia="仿宋" w:cs="仿宋"/>
          <w:sz w:val="36"/>
          <w:szCs w:val="36"/>
          <w:lang w:val="en-US" w:eastAsia="zh-CN"/>
        </w:rPr>
        <w:t>专业代码:</w:t>
      </w:r>
      <w:r>
        <w:rPr>
          <w:rFonts w:hint="eastAsia" w:ascii="仿宋" w:hAnsi="仿宋" w:eastAsia="仿宋" w:cs="仿宋"/>
          <w:sz w:val="36"/>
          <w:szCs w:val="36"/>
          <w:u w:val="single"/>
          <w:lang w:val="en-US" w:eastAsia="zh-CN"/>
        </w:rPr>
        <w:t xml:space="preserve">     530302    </w:t>
      </w:r>
    </w:p>
    <w:p w14:paraId="6B15DA20">
      <w:pPr>
        <w:keepNext w:val="0"/>
        <w:keepLines w:val="0"/>
        <w:pageBreakBefore w:val="0"/>
        <w:widowControl w:val="0"/>
        <w:kinsoku/>
        <w:wordWrap/>
        <w:overflowPunct/>
        <w:topLinePunct w:val="0"/>
        <w:autoSpaceDE/>
        <w:autoSpaceDN/>
        <w:bidi w:val="0"/>
        <w:adjustRightInd/>
        <w:snapToGrid/>
        <w:spacing w:line="800" w:lineRule="exact"/>
        <w:ind w:firstLine="1800" w:firstLineChars="500"/>
        <w:jc w:val="left"/>
        <w:textAlignment w:val="auto"/>
        <w:rPr>
          <w:rFonts w:hint="default" w:ascii="仿宋" w:hAnsi="仿宋" w:eastAsia="仿宋" w:cs="仿宋"/>
          <w:sz w:val="36"/>
          <w:szCs w:val="36"/>
          <w:u w:val="single"/>
          <w:lang w:val="en-US" w:eastAsia="zh-CN"/>
        </w:rPr>
      </w:pPr>
      <w:r>
        <w:rPr>
          <w:rFonts w:hint="eastAsia" w:ascii="仿宋" w:hAnsi="仿宋" w:eastAsia="仿宋" w:cs="仿宋"/>
          <w:sz w:val="36"/>
          <w:szCs w:val="36"/>
          <w:lang w:val="en-US" w:eastAsia="zh-CN"/>
        </w:rPr>
        <w:t>适用年级:</w:t>
      </w:r>
      <w:r>
        <w:rPr>
          <w:rFonts w:hint="eastAsia" w:ascii="仿宋" w:hAnsi="仿宋" w:eastAsia="仿宋" w:cs="仿宋"/>
          <w:sz w:val="36"/>
          <w:szCs w:val="36"/>
          <w:u w:val="single"/>
          <w:lang w:val="en-US" w:eastAsia="zh-CN"/>
        </w:rPr>
        <w:t xml:space="preserve">     2025级   </w:t>
      </w:r>
    </w:p>
    <w:p w14:paraId="19D55F8E">
      <w:pPr>
        <w:keepNext w:val="0"/>
        <w:keepLines w:val="0"/>
        <w:pageBreakBefore w:val="0"/>
        <w:widowControl w:val="0"/>
        <w:kinsoku/>
        <w:wordWrap/>
        <w:overflowPunct/>
        <w:topLinePunct w:val="0"/>
        <w:autoSpaceDE/>
        <w:autoSpaceDN/>
        <w:bidi w:val="0"/>
        <w:adjustRightInd/>
        <w:snapToGrid/>
        <w:spacing w:line="800" w:lineRule="exact"/>
        <w:ind w:firstLine="1800" w:firstLineChars="500"/>
        <w:jc w:val="left"/>
        <w:textAlignment w:val="auto"/>
        <w:rPr>
          <w:rFonts w:hint="default" w:ascii="仿宋" w:hAnsi="仿宋" w:eastAsia="仿宋" w:cs="仿宋"/>
          <w:sz w:val="36"/>
          <w:szCs w:val="36"/>
          <w:u w:val="single"/>
          <w:lang w:val="en-US" w:eastAsia="zh-CN"/>
        </w:rPr>
      </w:pPr>
      <w:r>
        <w:rPr>
          <w:rFonts w:hint="eastAsia" w:ascii="仿宋" w:hAnsi="仿宋" w:eastAsia="仿宋" w:cs="仿宋"/>
          <w:sz w:val="36"/>
          <w:szCs w:val="36"/>
          <w:lang w:val="en-US" w:eastAsia="zh-CN"/>
        </w:rPr>
        <w:t>所属学院:</w:t>
      </w:r>
      <w:r>
        <w:rPr>
          <w:rFonts w:hint="eastAsia" w:ascii="仿宋" w:hAnsi="仿宋" w:eastAsia="仿宋" w:cs="仿宋"/>
          <w:sz w:val="36"/>
          <w:szCs w:val="36"/>
          <w:u w:val="single"/>
          <w:lang w:val="en-US" w:eastAsia="zh-CN"/>
        </w:rPr>
        <w:t xml:space="preserve">  财经商贸学院 </w:t>
      </w:r>
    </w:p>
    <w:p w14:paraId="68B95F1F">
      <w:pPr>
        <w:keepNext w:val="0"/>
        <w:keepLines w:val="0"/>
        <w:pageBreakBefore w:val="0"/>
        <w:widowControl w:val="0"/>
        <w:kinsoku/>
        <w:wordWrap/>
        <w:overflowPunct/>
        <w:topLinePunct w:val="0"/>
        <w:autoSpaceDE/>
        <w:autoSpaceDN/>
        <w:bidi w:val="0"/>
        <w:adjustRightInd/>
        <w:snapToGrid/>
        <w:spacing w:line="800" w:lineRule="exact"/>
        <w:ind w:firstLine="1800" w:firstLineChars="500"/>
        <w:jc w:val="left"/>
        <w:textAlignment w:val="auto"/>
        <w:rPr>
          <w:rFonts w:hint="default" w:ascii="仿宋" w:hAnsi="仿宋" w:eastAsia="仿宋" w:cs="仿宋"/>
          <w:sz w:val="36"/>
          <w:szCs w:val="36"/>
          <w:u w:val="single"/>
          <w:lang w:val="en-US" w:eastAsia="zh-CN"/>
        </w:rPr>
      </w:pPr>
      <w:r>
        <w:rPr>
          <w:rFonts w:hint="eastAsia" w:ascii="仿宋" w:hAnsi="仿宋" w:eastAsia="仿宋" w:cs="仿宋"/>
          <w:sz w:val="36"/>
          <w:szCs w:val="36"/>
          <w:lang w:val="en-US" w:eastAsia="zh-CN"/>
        </w:rPr>
        <w:t>专业负责人:</w:t>
      </w:r>
      <w:r>
        <w:rPr>
          <w:rFonts w:hint="eastAsia" w:ascii="仿宋" w:hAnsi="仿宋" w:eastAsia="仿宋" w:cs="仿宋"/>
          <w:sz w:val="36"/>
          <w:szCs w:val="36"/>
          <w:u w:val="single"/>
          <w:lang w:val="en-US" w:eastAsia="zh-CN"/>
        </w:rPr>
        <w:t xml:space="preserve">   王文霞    </w:t>
      </w:r>
    </w:p>
    <w:p w14:paraId="629D4FE2">
      <w:pPr>
        <w:keepNext w:val="0"/>
        <w:keepLines w:val="0"/>
        <w:pageBreakBefore w:val="0"/>
        <w:widowControl w:val="0"/>
        <w:kinsoku/>
        <w:wordWrap/>
        <w:overflowPunct/>
        <w:topLinePunct w:val="0"/>
        <w:autoSpaceDE/>
        <w:autoSpaceDN/>
        <w:bidi w:val="0"/>
        <w:adjustRightInd/>
        <w:snapToGrid/>
        <w:spacing w:line="800" w:lineRule="exact"/>
        <w:ind w:firstLine="1800" w:firstLineChars="500"/>
        <w:jc w:val="left"/>
        <w:textAlignment w:val="auto"/>
        <w:rPr>
          <w:rFonts w:hint="eastAsia" w:ascii="方正小标宋简体" w:hAnsi="黑体" w:eastAsia="方正小标宋简体"/>
          <w:bCs/>
          <w:color w:val="000000" w:themeColor="text1"/>
          <w:kern w:val="0"/>
          <w:sz w:val="36"/>
          <w:szCs w:val="44"/>
          <w:lang w:eastAsia="zh-CN"/>
          <w14:textFill>
            <w14:solidFill>
              <w14:schemeClr w14:val="tx1"/>
            </w14:solidFill>
          </w14:textFill>
        </w:rPr>
      </w:pPr>
      <w:r>
        <w:rPr>
          <w:rFonts w:hint="eastAsia" w:ascii="仿宋" w:hAnsi="仿宋" w:eastAsia="仿宋" w:cs="仿宋"/>
          <w:sz w:val="36"/>
          <w:szCs w:val="36"/>
          <w:lang w:val="en-US" w:eastAsia="zh-CN"/>
        </w:rPr>
        <w:t>制(修)订时间:</w:t>
      </w:r>
      <w:r>
        <w:rPr>
          <w:rFonts w:hint="eastAsia" w:ascii="仿宋" w:hAnsi="仿宋" w:eastAsia="仿宋" w:cs="仿宋"/>
          <w:sz w:val="36"/>
          <w:szCs w:val="36"/>
          <w:u w:val="single"/>
          <w:lang w:val="en-US" w:eastAsia="zh-CN"/>
        </w:rPr>
        <w:t>2025年7月</w:t>
      </w:r>
    </w:p>
    <w:p w14:paraId="1EE41708">
      <w:pPr>
        <w:snapToGrid w:val="0"/>
        <w:spacing w:line="560" w:lineRule="exact"/>
        <w:jc w:val="both"/>
        <w:rPr>
          <w:rFonts w:hint="eastAsia" w:ascii="方正小标宋简体" w:hAnsi="黑体" w:eastAsia="方正小标宋简体"/>
          <w:bCs/>
          <w:color w:val="000000" w:themeColor="text1"/>
          <w:kern w:val="0"/>
          <w:sz w:val="36"/>
          <w:szCs w:val="44"/>
          <w:lang w:eastAsia="zh-CN"/>
          <w14:textFill>
            <w14:solidFill>
              <w14:schemeClr w14:val="tx1"/>
            </w14:solidFill>
          </w14:textFill>
        </w:rPr>
      </w:pPr>
    </w:p>
    <w:p w14:paraId="7FD9F2A3">
      <w:pPr>
        <w:snapToGrid w:val="0"/>
        <w:spacing w:line="560" w:lineRule="exact"/>
        <w:jc w:val="both"/>
        <w:rPr>
          <w:rFonts w:hint="eastAsia" w:ascii="方正小标宋简体" w:hAnsi="黑体" w:eastAsia="方正小标宋简体"/>
          <w:bCs/>
          <w:color w:val="000000" w:themeColor="text1"/>
          <w:kern w:val="0"/>
          <w:sz w:val="36"/>
          <w:szCs w:val="44"/>
          <w:lang w:eastAsia="zh-CN"/>
          <w14:textFill>
            <w14:solidFill>
              <w14:schemeClr w14:val="tx1"/>
            </w14:solidFill>
          </w14:textFill>
        </w:rPr>
      </w:pPr>
    </w:p>
    <w:p w14:paraId="5062FD7B">
      <w:pPr>
        <w:snapToGrid w:val="0"/>
        <w:spacing w:line="560" w:lineRule="exact"/>
        <w:jc w:val="both"/>
        <w:rPr>
          <w:rFonts w:hint="eastAsia" w:ascii="方正小标宋简体" w:hAnsi="黑体" w:eastAsia="方正小标宋简体"/>
          <w:bCs/>
          <w:color w:val="000000" w:themeColor="text1"/>
          <w:kern w:val="0"/>
          <w:sz w:val="36"/>
          <w:szCs w:val="44"/>
          <w:lang w:eastAsia="zh-CN"/>
          <w14:textFill>
            <w14:solidFill>
              <w14:schemeClr w14:val="tx1"/>
            </w14:solidFill>
          </w14:textFill>
        </w:rPr>
      </w:pPr>
    </w:p>
    <w:p w14:paraId="1013E2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4" w:leftChars="202"/>
        <w:jc w:val="center"/>
        <w:textAlignment w:val="auto"/>
        <w:rPr>
          <w:rFonts w:hint="eastAsia" w:ascii="方正小标宋简体" w:hAnsi="方正小标宋简体" w:eastAsia="方正小标宋简体" w:cs="方正小标宋简体"/>
          <w:bCs/>
          <w:color w:val="000000" w:themeColor="text1"/>
          <w:kern w:val="2"/>
          <w:sz w:val="32"/>
          <w:szCs w:val="32"/>
          <w:lang w:val="en-US" w:eastAsia="zh-CN" w:bidi="ar-SA"/>
          <w14:textFill>
            <w14:solidFill>
              <w14:schemeClr w14:val="tx1"/>
            </w14:solidFill>
          </w14:textFill>
        </w:rPr>
        <w:sectPr>
          <w:footerReference r:id="rId3" w:type="even"/>
          <w:pgSz w:w="11906" w:h="16838"/>
          <w:pgMar w:top="1418" w:right="1418" w:bottom="1134" w:left="1418" w:header="851" w:footer="794" w:gutter="0"/>
          <w:cols w:space="720" w:num="1"/>
          <w:titlePg/>
          <w:docGrid w:type="lines" w:linePitch="326" w:charSpace="0"/>
        </w:sectPr>
      </w:pPr>
    </w:p>
    <w:p w14:paraId="204944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4" w:leftChars="202"/>
        <w:jc w:val="center"/>
        <w:textAlignment w:val="auto"/>
        <w:rPr>
          <w:rFonts w:hint="eastAsia" w:ascii="方正小标宋简体" w:hAnsi="方正小标宋简体" w:eastAsia="方正小标宋简体" w:cs="方正小标宋简体"/>
          <w:bCs/>
          <w:color w:val="000000" w:themeColor="text1"/>
          <w:kern w:val="2"/>
          <w:sz w:val="32"/>
          <w:szCs w:val="32"/>
          <w:lang w:val="en-US" w:eastAsia="zh-CN" w:bidi="ar-SA"/>
          <w14:textFill>
            <w14:solidFill>
              <w14:schemeClr w14:val="tx1"/>
            </w14:solidFill>
          </w14:textFill>
        </w:rPr>
      </w:pPr>
      <w:r>
        <w:rPr>
          <w:rFonts w:hint="eastAsia" w:ascii="方正小标宋简体" w:hAnsi="方正小标宋简体" w:eastAsia="方正小标宋简体" w:cs="方正小标宋简体"/>
          <w:bCs/>
          <w:color w:val="000000" w:themeColor="text1"/>
          <w:kern w:val="2"/>
          <w:sz w:val="32"/>
          <w:szCs w:val="32"/>
          <w:lang w:val="en-US" w:eastAsia="zh-CN" w:bidi="ar-SA"/>
          <w14:textFill>
            <w14:solidFill>
              <w14:schemeClr w14:val="tx1"/>
            </w14:solidFill>
          </w14:textFill>
        </w:rPr>
        <w:t>大数据与会计专业人才培养方案</w:t>
      </w:r>
      <w:bookmarkEnd w:id="0"/>
      <w:bookmarkEnd w:id="1"/>
      <w:bookmarkEnd w:id="2"/>
    </w:p>
    <w:p w14:paraId="35CC3EF1">
      <w:pPr>
        <w:spacing w:line="480" w:lineRule="exact"/>
        <w:ind w:firstLine="482"/>
        <w:rPr>
          <w:rFonts w:ascii="黑体" w:hAnsi="黑体" w:eastAsia="黑体"/>
          <w:kern w:val="0"/>
          <w:sz w:val="24"/>
          <w:szCs w:val="20"/>
        </w:rPr>
      </w:pPr>
      <w:r>
        <w:rPr>
          <w:rFonts w:hint="eastAsia" w:ascii="黑体" w:hAnsi="黑体" w:eastAsia="黑体"/>
          <w:kern w:val="0"/>
          <w:sz w:val="24"/>
          <w:szCs w:val="20"/>
        </w:rPr>
        <w:t>一、专业名称及代码</w:t>
      </w:r>
    </w:p>
    <w:p w14:paraId="79CA228A">
      <w:pPr>
        <w:spacing w:line="480" w:lineRule="exact"/>
        <w:ind w:firstLine="482"/>
        <w:rPr>
          <w:rFonts w:ascii="宋体" w:hAnsi="宋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专业名称：大数据与会计</w:t>
      </w:r>
    </w:p>
    <w:p w14:paraId="64224522">
      <w:pPr>
        <w:spacing w:line="480" w:lineRule="exact"/>
        <w:ind w:firstLine="482"/>
        <w:rPr>
          <w:rFonts w:hint="eastAsia" w:ascii="宋体" w:hAnsi="宋体" w:eastAsia="宋体"/>
          <w:color w:val="000000" w:themeColor="text1"/>
          <w:kern w:val="0"/>
          <w:sz w:val="24"/>
          <w:szCs w:val="22"/>
          <w:lang w:eastAsia="zh-CN"/>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专业代码：530302</w:t>
      </w:r>
      <w:r>
        <w:rPr>
          <w:rFonts w:hint="eastAsia" w:ascii="宋体" w:hAnsi="宋体"/>
          <w:color w:val="000000" w:themeColor="text1"/>
          <w:kern w:val="0"/>
          <w:sz w:val="24"/>
          <w:szCs w:val="22"/>
          <w:lang w:eastAsia="zh-CN"/>
          <w14:textFill>
            <w14:solidFill>
              <w14:schemeClr w14:val="tx1"/>
            </w14:solidFill>
          </w14:textFill>
        </w:rPr>
        <w:t xml:space="preserve">           </w:t>
      </w:r>
    </w:p>
    <w:p w14:paraId="77F10327">
      <w:pPr>
        <w:spacing w:line="480" w:lineRule="exact"/>
        <w:ind w:firstLine="482"/>
        <w:rPr>
          <w:rFonts w:ascii="黑体" w:hAnsi="黑体" w:eastAsia="黑体"/>
          <w:kern w:val="0"/>
          <w:sz w:val="24"/>
          <w:szCs w:val="20"/>
        </w:rPr>
      </w:pPr>
      <w:r>
        <w:rPr>
          <w:rFonts w:hint="eastAsia" w:ascii="黑体" w:hAnsi="黑体" w:eastAsia="黑体"/>
          <w:kern w:val="0"/>
          <w:sz w:val="24"/>
          <w:szCs w:val="20"/>
        </w:rPr>
        <w:t>二、入学要求</w:t>
      </w:r>
    </w:p>
    <w:p w14:paraId="32A6841C">
      <w:pPr>
        <w:adjustRightInd w:val="0"/>
        <w:snapToGrid w:val="0"/>
        <w:spacing w:line="480" w:lineRule="exact"/>
        <w:ind w:firstLine="480" w:firstLineChars="200"/>
        <w:rPr>
          <w:rFonts w:ascii="宋体" w:hAnsi="宋体"/>
          <w:color w:val="000000" w:themeColor="text1"/>
          <w:kern w:val="0"/>
          <w:sz w:val="24"/>
          <w:szCs w:val="22"/>
          <w14:textFill>
            <w14:solidFill>
              <w14:schemeClr w14:val="tx1"/>
            </w14:solidFill>
          </w14:textFill>
        </w:rPr>
      </w:pPr>
      <w:r>
        <w:rPr>
          <w:rFonts w:ascii="宋体" w:hAnsi="宋体"/>
          <w:color w:val="000000" w:themeColor="text1"/>
          <w:kern w:val="0"/>
          <w:sz w:val="24"/>
          <w:szCs w:val="22"/>
          <w14:textFill>
            <w14:solidFill>
              <w14:schemeClr w14:val="tx1"/>
            </w14:solidFill>
          </w14:textFill>
        </w:rPr>
        <w:t>中等职业学校毕业、普通高级中学毕业或具备同等学力</w:t>
      </w:r>
    </w:p>
    <w:p w14:paraId="11962DF4">
      <w:pPr>
        <w:spacing w:line="480" w:lineRule="exact"/>
        <w:ind w:firstLine="480" w:firstLineChars="200"/>
        <w:rPr>
          <w:rFonts w:ascii="黑体" w:hAnsi="黑体" w:eastAsia="黑体"/>
          <w:sz w:val="24"/>
        </w:rPr>
      </w:pPr>
      <w:r>
        <w:rPr>
          <w:rFonts w:hint="eastAsia" w:ascii="黑体" w:hAnsi="黑体" w:eastAsia="黑体"/>
          <w:sz w:val="24"/>
        </w:rPr>
        <w:t>三、修业年限</w:t>
      </w:r>
    </w:p>
    <w:p w14:paraId="496DAD00">
      <w:pPr>
        <w:adjustRightInd w:val="0"/>
        <w:snapToGrid w:val="0"/>
        <w:spacing w:line="480" w:lineRule="exact"/>
        <w:ind w:firstLine="480" w:firstLineChars="200"/>
        <w:rPr>
          <w:rFonts w:ascii="宋体" w:hAnsi="宋体"/>
          <w:sz w:val="24"/>
        </w:rPr>
      </w:pPr>
      <w:r>
        <w:rPr>
          <w:rFonts w:hint="eastAsia" w:ascii="宋体" w:hAnsi="宋体"/>
          <w:sz w:val="24"/>
        </w:rPr>
        <w:t>基本学制：三年，最长修业年限：五年</w:t>
      </w:r>
    </w:p>
    <w:p w14:paraId="74E35875">
      <w:pPr>
        <w:adjustRightInd w:val="0"/>
        <w:snapToGrid w:val="0"/>
        <w:spacing w:line="480" w:lineRule="exact"/>
        <w:ind w:firstLine="480" w:firstLineChars="200"/>
        <w:rPr>
          <w:rFonts w:ascii="黑体" w:hAnsi="黑体" w:eastAsia="黑体"/>
          <w:sz w:val="24"/>
        </w:rPr>
      </w:pPr>
      <w:r>
        <w:rPr>
          <w:rFonts w:hint="eastAsia" w:ascii="黑体" w:hAnsi="黑体" w:eastAsia="黑体"/>
          <w:sz w:val="24"/>
        </w:rPr>
        <w:t>四、职业面向</w:t>
      </w:r>
    </w:p>
    <w:tbl>
      <w:tblPr>
        <w:tblStyle w:val="8"/>
        <w:tblpPr w:leftFromText="180" w:rightFromText="180" w:vertAnchor="text" w:horzAnchor="margin" w:tblpY="21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1044"/>
        <w:gridCol w:w="1239"/>
        <w:gridCol w:w="1744"/>
        <w:gridCol w:w="2074"/>
        <w:gridCol w:w="2340"/>
      </w:tblGrid>
      <w:tr w14:paraId="14BD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51" w:type="pct"/>
            <w:vAlign w:val="center"/>
          </w:tcPr>
          <w:p w14:paraId="0B95C041">
            <w:pPr>
              <w:adjustRightInd w:val="0"/>
              <w:snapToGrid w:val="0"/>
              <w:jc w:val="center"/>
              <w:rPr>
                <w:rFonts w:asciiTheme="minorEastAsia" w:hAnsiTheme="minorEastAsia" w:eastAsiaTheme="minorEastAsia"/>
                <w:kern w:val="0"/>
                <w:sz w:val="20"/>
                <w:szCs w:val="21"/>
              </w:rPr>
            </w:pPr>
            <w:bookmarkStart w:id="3" w:name="_Hlk165645223"/>
            <w:r>
              <w:rPr>
                <w:rFonts w:hint="eastAsia" w:asciiTheme="minorEastAsia" w:hAnsiTheme="minorEastAsia" w:eastAsiaTheme="minorEastAsia"/>
                <w:kern w:val="0"/>
                <w:sz w:val="20"/>
                <w:szCs w:val="21"/>
              </w:rPr>
              <w:t>所属专业大类</w:t>
            </w:r>
          </w:p>
        </w:tc>
        <w:tc>
          <w:tcPr>
            <w:tcW w:w="562" w:type="pct"/>
            <w:vAlign w:val="center"/>
          </w:tcPr>
          <w:p w14:paraId="0AFD282D">
            <w:pPr>
              <w:adjustRightInd w:val="0"/>
              <w:snapToGrid w:val="0"/>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所属</w:t>
            </w:r>
          </w:p>
          <w:p w14:paraId="2CFB006B">
            <w:pPr>
              <w:adjustRightInd w:val="0"/>
              <w:snapToGrid w:val="0"/>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专业类</w:t>
            </w:r>
          </w:p>
        </w:tc>
        <w:tc>
          <w:tcPr>
            <w:tcW w:w="667" w:type="pct"/>
            <w:vAlign w:val="center"/>
          </w:tcPr>
          <w:p w14:paraId="344BD9F2">
            <w:pPr>
              <w:adjustRightInd w:val="0"/>
              <w:snapToGrid w:val="0"/>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对应行业</w:t>
            </w:r>
          </w:p>
        </w:tc>
        <w:tc>
          <w:tcPr>
            <w:tcW w:w="939" w:type="pct"/>
            <w:vAlign w:val="center"/>
          </w:tcPr>
          <w:p w14:paraId="5CF4E0EB">
            <w:pPr>
              <w:adjustRightInd w:val="0"/>
              <w:snapToGrid w:val="0"/>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主要职业类别</w:t>
            </w:r>
          </w:p>
        </w:tc>
        <w:tc>
          <w:tcPr>
            <w:tcW w:w="1117" w:type="pct"/>
            <w:vAlign w:val="center"/>
          </w:tcPr>
          <w:p w14:paraId="39658691">
            <w:pPr>
              <w:adjustRightInd w:val="0"/>
              <w:snapToGrid w:val="0"/>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主要岗位类别举例</w:t>
            </w:r>
          </w:p>
        </w:tc>
        <w:tc>
          <w:tcPr>
            <w:tcW w:w="1260" w:type="pct"/>
            <w:vAlign w:val="center"/>
          </w:tcPr>
          <w:p w14:paraId="06E8316F">
            <w:pPr>
              <w:adjustRightInd w:val="0"/>
              <w:snapToGrid w:val="0"/>
              <w:jc w:val="center"/>
              <w:rPr>
                <w:rFonts w:asciiTheme="minorEastAsia" w:hAnsiTheme="minorEastAsia" w:eastAsiaTheme="minorEastAsia"/>
                <w:kern w:val="0"/>
                <w:sz w:val="20"/>
                <w:szCs w:val="21"/>
              </w:rPr>
            </w:pPr>
            <w:r>
              <w:rPr>
                <w:rFonts w:hint="eastAsia" w:asciiTheme="minorEastAsia" w:hAnsiTheme="minorEastAsia" w:eastAsiaTheme="minorEastAsia"/>
                <w:kern w:val="0"/>
                <w:sz w:val="20"/>
                <w:szCs w:val="21"/>
              </w:rPr>
              <w:t>职业资格证书和职业技能等级证书举例</w:t>
            </w:r>
          </w:p>
        </w:tc>
      </w:tr>
      <w:tr w14:paraId="52C6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451" w:type="pct"/>
            <w:vAlign w:val="center"/>
          </w:tcPr>
          <w:p w14:paraId="3911EB72">
            <w:pPr>
              <w:adjustRightInd w:val="0"/>
              <w:snapToGrid w:val="0"/>
              <w:jc w:val="center"/>
              <w:rPr>
                <w:rFonts w:ascii="宋体" w:hAnsi="宋体"/>
                <w:kern w:val="0"/>
                <w:sz w:val="20"/>
                <w:szCs w:val="21"/>
              </w:rPr>
            </w:pPr>
            <w:r>
              <w:rPr>
                <w:rFonts w:hint="eastAsia" w:ascii="宋体" w:hAnsi="宋体"/>
                <w:kern w:val="0"/>
                <w:sz w:val="20"/>
                <w:szCs w:val="21"/>
                <w:lang w:val="en-US" w:eastAsia="zh-CN"/>
              </w:rPr>
              <w:t>财经商贸</w:t>
            </w:r>
            <w:r>
              <w:rPr>
                <w:rFonts w:hint="eastAsia" w:ascii="宋体" w:hAnsi="宋体"/>
                <w:kern w:val="0"/>
                <w:sz w:val="20"/>
                <w:szCs w:val="21"/>
              </w:rPr>
              <w:t>大类（</w:t>
            </w:r>
            <w:r>
              <w:rPr>
                <w:rFonts w:hint="eastAsia" w:ascii="宋体" w:hAnsi="宋体"/>
                <w:kern w:val="0"/>
                <w:sz w:val="20"/>
                <w:szCs w:val="21"/>
                <w:lang w:val="en-US" w:eastAsia="zh-CN"/>
              </w:rPr>
              <w:t>53</w:t>
            </w:r>
            <w:r>
              <w:rPr>
                <w:rFonts w:hint="eastAsia" w:ascii="宋体" w:hAnsi="宋体"/>
                <w:kern w:val="0"/>
                <w:sz w:val="20"/>
                <w:szCs w:val="21"/>
              </w:rPr>
              <w:t>）</w:t>
            </w:r>
          </w:p>
        </w:tc>
        <w:tc>
          <w:tcPr>
            <w:tcW w:w="562" w:type="pct"/>
            <w:vAlign w:val="center"/>
          </w:tcPr>
          <w:p w14:paraId="7F8239F2">
            <w:pPr>
              <w:adjustRightInd w:val="0"/>
              <w:snapToGrid w:val="0"/>
              <w:jc w:val="center"/>
              <w:rPr>
                <w:rFonts w:ascii="宋体" w:hAnsi="宋体"/>
                <w:kern w:val="0"/>
                <w:sz w:val="20"/>
                <w:szCs w:val="21"/>
              </w:rPr>
            </w:pPr>
            <w:r>
              <w:rPr>
                <w:rFonts w:hint="eastAsia" w:ascii="宋体" w:hAnsi="宋体"/>
                <w:kern w:val="0"/>
                <w:sz w:val="20"/>
                <w:szCs w:val="21"/>
                <w:lang w:val="en-US" w:eastAsia="zh-CN"/>
              </w:rPr>
              <w:t>财务会计</w:t>
            </w:r>
            <w:r>
              <w:rPr>
                <w:rFonts w:hint="eastAsia" w:ascii="宋体" w:hAnsi="宋体"/>
                <w:kern w:val="0"/>
                <w:sz w:val="20"/>
                <w:szCs w:val="21"/>
              </w:rPr>
              <w:t>类（</w:t>
            </w:r>
            <w:r>
              <w:rPr>
                <w:rFonts w:hint="eastAsia" w:ascii="宋体" w:hAnsi="宋体"/>
                <w:kern w:val="0"/>
                <w:sz w:val="20"/>
                <w:szCs w:val="21"/>
                <w:lang w:val="en-US" w:eastAsia="zh-CN"/>
              </w:rPr>
              <w:t>5303</w:t>
            </w:r>
            <w:r>
              <w:rPr>
                <w:rFonts w:hint="eastAsia" w:ascii="宋体" w:hAnsi="宋体"/>
                <w:kern w:val="0"/>
                <w:sz w:val="20"/>
                <w:szCs w:val="21"/>
              </w:rPr>
              <w:t>）</w:t>
            </w:r>
          </w:p>
        </w:tc>
        <w:tc>
          <w:tcPr>
            <w:tcW w:w="667" w:type="pct"/>
            <w:vAlign w:val="center"/>
          </w:tcPr>
          <w:p w14:paraId="40F0EC8A">
            <w:pPr>
              <w:adjustRightInd w:val="0"/>
              <w:snapToGrid w:val="0"/>
              <w:jc w:val="center"/>
              <w:rPr>
                <w:rFonts w:ascii="宋体" w:hAnsi="宋体"/>
                <w:kern w:val="0"/>
                <w:sz w:val="20"/>
                <w:szCs w:val="21"/>
              </w:rPr>
            </w:pPr>
            <w:r>
              <w:rPr>
                <w:rFonts w:hint="eastAsia" w:ascii="宋体" w:hAnsi="宋体"/>
                <w:kern w:val="0"/>
                <w:sz w:val="20"/>
                <w:szCs w:val="21"/>
                <w:lang w:val="en-US" w:eastAsia="zh-CN"/>
              </w:rPr>
              <w:t>会计、审计及税务服务</w:t>
            </w:r>
            <w:r>
              <w:rPr>
                <w:rFonts w:hint="eastAsia" w:ascii="宋体" w:hAnsi="宋体"/>
                <w:kern w:val="0"/>
                <w:sz w:val="20"/>
                <w:szCs w:val="21"/>
              </w:rPr>
              <w:t>（</w:t>
            </w:r>
            <w:r>
              <w:rPr>
                <w:rFonts w:hint="eastAsia" w:ascii="宋体" w:hAnsi="宋体"/>
                <w:kern w:val="0"/>
                <w:sz w:val="20"/>
                <w:szCs w:val="21"/>
                <w:lang w:val="en-US" w:eastAsia="zh-CN"/>
              </w:rPr>
              <w:t>7241</w:t>
            </w:r>
            <w:r>
              <w:rPr>
                <w:rFonts w:hint="eastAsia" w:ascii="宋体" w:hAnsi="宋体"/>
                <w:kern w:val="0"/>
                <w:sz w:val="20"/>
                <w:szCs w:val="21"/>
              </w:rPr>
              <w:t>）</w:t>
            </w:r>
          </w:p>
          <w:p w14:paraId="11DEE29E">
            <w:pPr>
              <w:adjustRightInd w:val="0"/>
              <w:snapToGrid w:val="0"/>
              <w:jc w:val="both"/>
              <w:rPr>
                <w:rFonts w:ascii="宋体" w:hAnsi="宋体"/>
                <w:kern w:val="0"/>
                <w:sz w:val="20"/>
                <w:szCs w:val="21"/>
              </w:rPr>
            </w:pPr>
          </w:p>
        </w:tc>
        <w:tc>
          <w:tcPr>
            <w:tcW w:w="939" w:type="pct"/>
            <w:vAlign w:val="center"/>
          </w:tcPr>
          <w:p w14:paraId="2F1682BA">
            <w:pPr>
              <w:adjustRightInd w:val="0"/>
              <w:snapToGrid w:val="0"/>
              <w:rPr>
                <w:rFonts w:ascii="宋体" w:hAnsi="宋体"/>
                <w:kern w:val="0"/>
                <w:sz w:val="20"/>
                <w:szCs w:val="21"/>
              </w:rPr>
            </w:pPr>
            <w:r>
              <w:rPr>
                <w:rFonts w:hint="eastAsia" w:ascii="宋体" w:hAnsi="宋体"/>
                <w:kern w:val="0"/>
                <w:sz w:val="20"/>
                <w:szCs w:val="21"/>
              </w:rPr>
              <w:t>1</w:t>
            </w:r>
            <w:r>
              <w:rPr>
                <w:rFonts w:ascii="宋体" w:hAnsi="宋体"/>
                <w:kern w:val="0"/>
                <w:sz w:val="20"/>
                <w:szCs w:val="21"/>
              </w:rPr>
              <w:t>.</w:t>
            </w:r>
            <w:r>
              <w:rPr>
                <w:rFonts w:hint="eastAsia" w:ascii="宋体" w:hAnsi="宋体"/>
                <w:kern w:val="0"/>
                <w:sz w:val="20"/>
                <w:szCs w:val="21"/>
                <w:lang w:val="en-US" w:eastAsia="zh-CN"/>
              </w:rPr>
              <w:t>会计专业</w:t>
            </w:r>
            <w:r>
              <w:rPr>
                <w:rFonts w:hint="eastAsia" w:ascii="宋体" w:hAnsi="宋体"/>
                <w:kern w:val="0"/>
                <w:sz w:val="20"/>
                <w:szCs w:val="21"/>
              </w:rPr>
              <w:t>人员（2</w:t>
            </w:r>
            <w:r>
              <w:rPr>
                <w:rFonts w:ascii="宋体" w:hAnsi="宋体"/>
                <w:kern w:val="0"/>
                <w:sz w:val="20"/>
                <w:szCs w:val="21"/>
              </w:rPr>
              <w:t>-0</w:t>
            </w:r>
            <w:r>
              <w:rPr>
                <w:rFonts w:hint="eastAsia" w:ascii="宋体" w:hAnsi="宋体"/>
                <w:kern w:val="0"/>
                <w:sz w:val="20"/>
                <w:szCs w:val="21"/>
                <w:lang w:val="en-US" w:eastAsia="zh-CN"/>
              </w:rPr>
              <w:t>6</w:t>
            </w:r>
            <w:r>
              <w:rPr>
                <w:rFonts w:ascii="宋体" w:hAnsi="宋体"/>
                <w:kern w:val="0"/>
                <w:sz w:val="20"/>
                <w:szCs w:val="21"/>
              </w:rPr>
              <w:t>-</w:t>
            </w:r>
            <w:r>
              <w:rPr>
                <w:rFonts w:hint="eastAsia" w:ascii="宋体" w:hAnsi="宋体"/>
                <w:kern w:val="0"/>
                <w:sz w:val="20"/>
                <w:szCs w:val="21"/>
                <w:lang w:val="en-US" w:eastAsia="zh-CN"/>
              </w:rPr>
              <w:t>03</w:t>
            </w:r>
            <w:r>
              <w:rPr>
                <w:rFonts w:hint="eastAsia" w:ascii="宋体" w:hAnsi="宋体"/>
                <w:kern w:val="0"/>
                <w:sz w:val="20"/>
                <w:szCs w:val="21"/>
              </w:rPr>
              <w:t>）</w:t>
            </w:r>
          </w:p>
          <w:p w14:paraId="0908FD5D">
            <w:pPr>
              <w:adjustRightInd w:val="0"/>
              <w:snapToGrid w:val="0"/>
              <w:rPr>
                <w:rFonts w:ascii="宋体" w:hAnsi="宋体"/>
                <w:kern w:val="0"/>
                <w:sz w:val="20"/>
                <w:szCs w:val="21"/>
              </w:rPr>
            </w:pPr>
            <w:r>
              <w:rPr>
                <w:rFonts w:hint="eastAsia" w:ascii="宋体" w:hAnsi="宋体"/>
                <w:kern w:val="0"/>
                <w:sz w:val="20"/>
                <w:szCs w:val="21"/>
              </w:rPr>
              <w:t>2</w:t>
            </w:r>
            <w:r>
              <w:rPr>
                <w:rFonts w:hint="eastAsia" w:ascii="宋体" w:hAnsi="宋体"/>
                <w:kern w:val="0"/>
                <w:sz w:val="20"/>
                <w:szCs w:val="21"/>
                <w:lang w:eastAsia="zh-CN"/>
              </w:rPr>
              <w:t>.</w:t>
            </w:r>
            <w:r>
              <w:rPr>
                <w:rFonts w:ascii="宋体" w:hAnsi="宋体"/>
                <w:kern w:val="0"/>
                <w:sz w:val="20"/>
                <w:szCs w:val="21"/>
              </w:rPr>
              <w:t>审计专业人员（2-06-04）</w:t>
            </w:r>
          </w:p>
          <w:p w14:paraId="50979ABA">
            <w:pPr>
              <w:adjustRightInd w:val="0"/>
              <w:snapToGrid w:val="0"/>
              <w:rPr>
                <w:rFonts w:ascii="宋体" w:hAnsi="宋体"/>
                <w:kern w:val="0"/>
                <w:sz w:val="20"/>
                <w:szCs w:val="21"/>
              </w:rPr>
            </w:pPr>
            <w:r>
              <w:rPr>
                <w:rFonts w:hint="eastAsia" w:ascii="宋体" w:hAnsi="宋体"/>
                <w:kern w:val="0"/>
                <w:sz w:val="20"/>
                <w:szCs w:val="21"/>
                <w:lang w:val="en-US" w:eastAsia="zh-CN"/>
              </w:rPr>
              <w:t>3.</w:t>
            </w:r>
            <w:r>
              <w:rPr>
                <w:rFonts w:ascii="宋体" w:hAnsi="宋体"/>
                <w:kern w:val="0"/>
                <w:sz w:val="20"/>
                <w:szCs w:val="21"/>
              </w:rPr>
              <w:t>税务专业人员（2-06-05）</w:t>
            </w:r>
          </w:p>
        </w:tc>
        <w:tc>
          <w:tcPr>
            <w:tcW w:w="1117" w:type="pct"/>
            <w:vAlign w:val="center"/>
          </w:tcPr>
          <w:p w14:paraId="6F7C767D">
            <w:pPr>
              <w:pStyle w:val="15"/>
              <w:spacing w:before="82" w:line="219" w:lineRule="auto"/>
              <w:ind w:left="111"/>
              <w:rPr>
                <w:rFonts w:ascii="宋体" w:hAnsi="宋体"/>
                <w:kern w:val="0"/>
                <w:sz w:val="20"/>
                <w:szCs w:val="21"/>
              </w:rPr>
            </w:pPr>
            <w:r>
              <w:rPr>
                <w:rFonts w:hint="eastAsia" w:ascii="宋体" w:hAnsi="宋体"/>
                <w:kern w:val="0"/>
                <w:sz w:val="20"/>
                <w:szCs w:val="21"/>
              </w:rPr>
              <w:t>1</w:t>
            </w:r>
            <w:r>
              <w:rPr>
                <w:rFonts w:hint="eastAsia" w:ascii="宋体" w:hAnsi="宋体"/>
                <w:kern w:val="0"/>
                <w:sz w:val="20"/>
                <w:szCs w:val="21"/>
                <w:lang w:eastAsia="zh-CN"/>
              </w:rPr>
              <w:t>.</w:t>
            </w:r>
            <w:r>
              <w:rPr>
                <w:rFonts w:ascii="宋体" w:hAnsi="宋体"/>
                <w:kern w:val="0"/>
                <w:sz w:val="20"/>
                <w:szCs w:val="21"/>
              </w:rPr>
              <w:t>企业会计核算</w:t>
            </w:r>
          </w:p>
          <w:p w14:paraId="398BBBFA">
            <w:pPr>
              <w:pStyle w:val="15"/>
              <w:spacing w:before="82" w:line="219" w:lineRule="auto"/>
              <w:ind w:left="111"/>
              <w:rPr>
                <w:rFonts w:ascii="宋体" w:hAnsi="宋体"/>
                <w:kern w:val="0"/>
                <w:sz w:val="20"/>
                <w:szCs w:val="21"/>
              </w:rPr>
            </w:pPr>
            <w:r>
              <w:rPr>
                <w:rFonts w:hint="eastAsia" w:ascii="宋体" w:hAnsi="宋体"/>
                <w:kern w:val="0"/>
                <w:sz w:val="20"/>
                <w:szCs w:val="21"/>
                <w:lang w:val="en-US" w:eastAsia="zh-CN"/>
              </w:rPr>
              <w:t>2.</w:t>
            </w:r>
            <w:r>
              <w:rPr>
                <w:rFonts w:ascii="宋体" w:hAnsi="宋体"/>
                <w:kern w:val="0"/>
                <w:sz w:val="20"/>
                <w:szCs w:val="21"/>
              </w:rPr>
              <w:t>注册会计师事务所助理</w:t>
            </w:r>
          </w:p>
          <w:p w14:paraId="280D0A32">
            <w:pPr>
              <w:pStyle w:val="15"/>
              <w:spacing w:before="82" w:line="219" w:lineRule="auto"/>
              <w:ind w:left="111"/>
              <w:rPr>
                <w:rFonts w:ascii="宋体" w:hAnsi="宋体"/>
                <w:kern w:val="0"/>
                <w:sz w:val="20"/>
                <w:szCs w:val="21"/>
              </w:rPr>
            </w:pPr>
            <w:r>
              <w:rPr>
                <w:rFonts w:hint="eastAsia" w:ascii="宋体" w:hAnsi="宋体"/>
                <w:kern w:val="0"/>
                <w:sz w:val="20"/>
                <w:szCs w:val="21"/>
                <w:lang w:val="en-US" w:eastAsia="zh-CN"/>
              </w:rPr>
              <w:t>3.</w:t>
            </w:r>
            <w:r>
              <w:rPr>
                <w:rFonts w:ascii="宋体" w:hAnsi="宋体"/>
                <w:kern w:val="0"/>
                <w:sz w:val="20"/>
                <w:szCs w:val="21"/>
              </w:rPr>
              <w:t>企业财务大数</w:t>
            </w:r>
          </w:p>
          <w:p w14:paraId="46FBD0E6">
            <w:pPr>
              <w:pStyle w:val="15"/>
              <w:spacing w:before="82" w:line="219" w:lineRule="auto"/>
              <w:ind w:left="111"/>
              <w:rPr>
                <w:rFonts w:ascii="宋体" w:hAnsi="宋体"/>
                <w:kern w:val="0"/>
                <w:sz w:val="20"/>
                <w:szCs w:val="21"/>
              </w:rPr>
            </w:pPr>
            <w:r>
              <w:rPr>
                <w:rFonts w:ascii="宋体" w:hAnsi="宋体"/>
                <w:kern w:val="0"/>
                <w:sz w:val="20"/>
                <w:szCs w:val="21"/>
              </w:rPr>
              <w:t>据分析</w:t>
            </w:r>
          </w:p>
          <w:p w14:paraId="6507CFC1">
            <w:pPr>
              <w:pStyle w:val="15"/>
              <w:spacing w:before="82" w:line="219" w:lineRule="auto"/>
              <w:ind w:left="111"/>
              <w:rPr>
                <w:rFonts w:ascii="宋体" w:hAnsi="宋体"/>
                <w:kern w:val="0"/>
                <w:sz w:val="20"/>
                <w:szCs w:val="21"/>
              </w:rPr>
            </w:pPr>
            <w:r>
              <w:rPr>
                <w:rFonts w:hint="eastAsia" w:ascii="宋体" w:hAnsi="宋体"/>
                <w:kern w:val="0"/>
                <w:sz w:val="20"/>
                <w:szCs w:val="21"/>
                <w:lang w:val="en-US" w:eastAsia="zh-CN"/>
              </w:rPr>
              <w:t>4.</w:t>
            </w:r>
            <w:r>
              <w:rPr>
                <w:rFonts w:ascii="宋体" w:hAnsi="宋体"/>
                <w:kern w:val="0"/>
                <w:sz w:val="20"/>
                <w:szCs w:val="21"/>
              </w:rPr>
              <w:t>企业会计信息管理</w:t>
            </w:r>
          </w:p>
          <w:p w14:paraId="16F282BB">
            <w:pPr>
              <w:pStyle w:val="15"/>
              <w:spacing w:before="82" w:line="219" w:lineRule="auto"/>
              <w:ind w:left="111"/>
              <w:rPr>
                <w:rFonts w:ascii="宋体" w:hAnsi="宋体"/>
                <w:kern w:val="0"/>
                <w:sz w:val="20"/>
                <w:szCs w:val="21"/>
              </w:rPr>
            </w:pPr>
            <w:r>
              <w:rPr>
                <w:rFonts w:hint="eastAsia" w:ascii="宋体" w:hAnsi="宋体"/>
                <w:kern w:val="0"/>
                <w:sz w:val="20"/>
                <w:szCs w:val="21"/>
                <w:lang w:val="en-US" w:eastAsia="zh-CN"/>
              </w:rPr>
              <w:t>5.</w:t>
            </w:r>
            <w:r>
              <w:rPr>
                <w:rFonts w:ascii="宋体" w:hAnsi="宋体"/>
                <w:kern w:val="0"/>
                <w:sz w:val="20"/>
                <w:szCs w:val="21"/>
              </w:rPr>
              <w:t>企业税务管理</w:t>
            </w:r>
          </w:p>
        </w:tc>
        <w:tc>
          <w:tcPr>
            <w:tcW w:w="1260" w:type="pct"/>
            <w:vAlign w:val="center"/>
          </w:tcPr>
          <w:p w14:paraId="2CC62AF1">
            <w:pPr>
              <w:pStyle w:val="15"/>
              <w:spacing w:before="82" w:line="219" w:lineRule="auto"/>
              <w:ind w:left="111"/>
              <w:rPr>
                <w:rFonts w:ascii="宋体" w:hAnsi="宋体"/>
                <w:kern w:val="0"/>
                <w:sz w:val="20"/>
                <w:szCs w:val="21"/>
              </w:rPr>
            </w:pPr>
            <w:r>
              <w:rPr>
                <w:rFonts w:hint="eastAsia" w:ascii="宋体" w:hAnsi="宋体"/>
                <w:kern w:val="0"/>
                <w:sz w:val="20"/>
                <w:szCs w:val="21"/>
              </w:rPr>
              <w:t>1</w:t>
            </w:r>
            <w:r>
              <w:rPr>
                <w:rFonts w:ascii="宋体" w:hAnsi="宋体"/>
                <w:kern w:val="0"/>
                <w:sz w:val="20"/>
                <w:szCs w:val="21"/>
              </w:rPr>
              <w:t>.会计专业技术资格</w:t>
            </w:r>
          </w:p>
          <w:p w14:paraId="2B381FDC">
            <w:pPr>
              <w:pStyle w:val="15"/>
              <w:spacing w:before="82" w:line="219" w:lineRule="auto"/>
              <w:ind w:left="111"/>
              <w:rPr>
                <w:rFonts w:ascii="宋体" w:hAnsi="宋体"/>
                <w:kern w:val="0"/>
                <w:sz w:val="20"/>
                <w:szCs w:val="21"/>
              </w:rPr>
            </w:pPr>
            <w:r>
              <w:rPr>
                <w:rFonts w:hint="eastAsia" w:ascii="宋体" w:hAnsi="宋体"/>
                <w:kern w:val="0"/>
                <w:sz w:val="20"/>
                <w:szCs w:val="21"/>
                <w:lang w:val="en-US" w:eastAsia="zh-CN"/>
              </w:rPr>
              <w:t>2.</w:t>
            </w:r>
            <w:r>
              <w:rPr>
                <w:rFonts w:ascii="宋体" w:hAnsi="宋体"/>
                <w:kern w:val="0"/>
                <w:sz w:val="20"/>
                <w:szCs w:val="21"/>
              </w:rPr>
              <w:t>审计专业技术资格</w:t>
            </w:r>
          </w:p>
          <w:p w14:paraId="313F218D">
            <w:pPr>
              <w:pStyle w:val="15"/>
              <w:spacing w:before="82" w:line="219" w:lineRule="auto"/>
              <w:ind w:left="111"/>
              <w:rPr>
                <w:rFonts w:ascii="宋体" w:hAnsi="宋体"/>
                <w:kern w:val="0"/>
                <w:sz w:val="20"/>
                <w:szCs w:val="21"/>
              </w:rPr>
            </w:pPr>
            <w:r>
              <w:rPr>
                <w:rFonts w:hint="eastAsia" w:ascii="宋体" w:hAnsi="宋体"/>
                <w:kern w:val="0"/>
                <w:sz w:val="20"/>
                <w:szCs w:val="21"/>
                <w:lang w:val="en-US" w:eastAsia="zh-CN"/>
              </w:rPr>
              <w:t>3.</w:t>
            </w:r>
            <w:r>
              <w:rPr>
                <w:rFonts w:ascii="宋体" w:hAnsi="宋体"/>
                <w:kern w:val="0"/>
                <w:sz w:val="20"/>
                <w:szCs w:val="21"/>
              </w:rPr>
              <w:t>业财一体信息化应用</w:t>
            </w:r>
          </w:p>
          <w:p w14:paraId="7AD9565F">
            <w:pPr>
              <w:pStyle w:val="15"/>
              <w:spacing w:before="82" w:line="219" w:lineRule="auto"/>
              <w:ind w:left="111"/>
              <w:rPr>
                <w:rFonts w:ascii="宋体" w:hAnsi="宋体"/>
                <w:kern w:val="0"/>
                <w:sz w:val="20"/>
                <w:szCs w:val="21"/>
              </w:rPr>
            </w:pPr>
            <w:r>
              <w:rPr>
                <w:rFonts w:hint="eastAsia" w:ascii="宋体" w:hAnsi="宋体"/>
                <w:kern w:val="0"/>
                <w:sz w:val="20"/>
                <w:szCs w:val="21"/>
                <w:lang w:val="en-US" w:eastAsia="zh-CN"/>
              </w:rPr>
              <w:t>4.</w:t>
            </w:r>
            <w:r>
              <w:rPr>
                <w:rFonts w:ascii="宋体" w:hAnsi="宋体"/>
                <w:kern w:val="0"/>
                <w:sz w:val="20"/>
                <w:szCs w:val="21"/>
              </w:rPr>
              <w:t>智能财税</w:t>
            </w:r>
          </w:p>
          <w:p w14:paraId="18B0D0CD">
            <w:pPr>
              <w:pStyle w:val="15"/>
              <w:spacing w:before="82" w:line="219" w:lineRule="auto"/>
              <w:ind w:left="111"/>
              <w:rPr>
                <w:rFonts w:ascii="宋体" w:hAnsi="宋体"/>
                <w:kern w:val="0"/>
                <w:sz w:val="20"/>
                <w:szCs w:val="21"/>
              </w:rPr>
            </w:pPr>
            <w:r>
              <w:rPr>
                <w:rFonts w:hint="eastAsia" w:ascii="宋体" w:hAnsi="宋体"/>
                <w:kern w:val="0"/>
                <w:sz w:val="20"/>
                <w:szCs w:val="21"/>
                <w:lang w:val="en-US" w:eastAsia="zh-CN"/>
              </w:rPr>
              <w:t>5.</w:t>
            </w:r>
            <w:r>
              <w:rPr>
                <w:rFonts w:ascii="宋体" w:hAnsi="宋体"/>
                <w:kern w:val="0"/>
                <w:sz w:val="20"/>
                <w:szCs w:val="21"/>
              </w:rPr>
              <w:t>财务共享服务</w:t>
            </w:r>
          </w:p>
        </w:tc>
      </w:tr>
      <w:bookmarkEnd w:id="3"/>
    </w:tbl>
    <w:p w14:paraId="13ADAC13">
      <w:pPr>
        <w:adjustRightInd w:val="0"/>
        <w:snapToGrid w:val="0"/>
        <w:spacing w:line="480" w:lineRule="exact"/>
        <w:ind w:firstLine="480" w:firstLineChars="200"/>
        <w:rPr>
          <w:rFonts w:ascii="黑体" w:hAnsi="黑体" w:eastAsia="黑体"/>
          <w:sz w:val="24"/>
        </w:rPr>
      </w:pPr>
      <w:r>
        <w:rPr>
          <w:rFonts w:hint="eastAsia" w:ascii="黑体" w:hAnsi="黑体" w:eastAsia="黑体"/>
          <w:sz w:val="24"/>
        </w:rPr>
        <w:t>五、人才培养目标与培养规格</w:t>
      </w:r>
      <w:bookmarkStart w:id="7" w:name="_GoBack"/>
      <w:bookmarkEnd w:id="7"/>
    </w:p>
    <w:p w14:paraId="1A351DCD">
      <w:pPr>
        <w:adjustRightInd w:val="0"/>
        <w:snapToGrid w:val="0"/>
        <w:spacing w:line="480" w:lineRule="exact"/>
        <w:ind w:firstLine="480" w:firstLineChars="200"/>
        <w:rPr>
          <w:rFonts w:hint="eastAsia" w:ascii="宋体" w:hAnsi="宋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（一）人才培养目标</w:t>
      </w:r>
    </w:p>
    <w:p w14:paraId="37A9A2E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Times New Roman"/>
          <w:color w:val="000000" w:themeColor="text1"/>
          <w:kern w:val="0"/>
          <w:sz w:val="24"/>
          <w:szCs w:val="22"/>
          <w:lang w:val="en-US" w:eastAsia="zh-CN"/>
          <w14:textFill>
            <w14:solidFill>
              <w14:schemeClr w14:val="tx1"/>
            </w14:solidFill>
          </w14:textFill>
        </w:rPr>
      </w:pPr>
      <w:r>
        <w:rPr>
          <w:rFonts w:hint="eastAsia" w:ascii="宋体" w:hAnsi="宋体" w:cs="Times New Roman"/>
          <w:color w:val="000000" w:themeColor="text1"/>
          <w:kern w:val="0"/>
          <w:sz w:val="24"/>
          <w:szCs w:val="22"/>
          <w:lang w:val="en-US" w:eastAsia="zh-CN"/>
          <w14:textFill>
            <w14:solidFill>
              <w14:schemeClr w14:val="tx1"/>
            </w14:solidFill>
          </w14:textFill>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会计、审计及税务服务行业的会计类岗位（群）,能够从事财税审计服务工作的高技能人才。</w:t>
      </w:r>
    </w:p>
    <w:p w14:paraId="5C9EF5CA">
      <w:pPr>
        <w:adjustRightInd w:val="0"/>
        <w:snapToGrid w:val="0"/>
        <w:spacing w:line="480" w:lineRule="exact"/>
        <w:ind w:firstLine="480" w:firstLineChars="200"/>
        <w:rPr>
          <w:rFonts w:hint="eastAsia" w:ascii="宋体" w:hAnsi="宋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（二）人才培养规格</w:t>
      </w:r>
    </w:p>
    <w:p w14:paraId="19E5A781">
      <w:pPr>
        <w:adjustRightInd w:val="0"/>
        <w:snapToGrid w:val="0"/>
        <w:spacing w:line="480" w:lineRule="exact"/>
        <w:ind w:firstLine="480" w:firstLineChars="200"/>
        <w:rPr>
          <w:rFonts w:hint="eastAsia" w:ascii="楷体" w:hAnsi="楷体" w:eastAsia="楷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本专业学生应在系统学习专业知识并完成有关实习实训基础上，全面提升知识、能力、 素质，掌握并实际运用岗位（群</w:t>
      </w:r>
      <w:r>
        <w:rPr>
          <w:rFonts w:hint="eastAsia" w:ascii="宋体" w:hAnsi="宋体"/>
          <w:color w:val="000000" w:themeColor="text1"/>
          <w:kern w:val="0"/>
          <w:sz w:val="24"/>
          <w:szCs w:val="22"/>
          <w:lang w:val="en-US" w:eastAsia="zh-CN"/>
          <w14:textFill>
            <w14:solidFill>
              <w14:schemeClr w14:val="tx1"/>
            </w14:solidFill>
          </w14:textFill>
        </w:rPr>
        <w:t>)</w:t>
      </w:r>
      <w:r>
        <w:rPr>
          <w:rFonts w:hint="eastAsia" w:ascii="宋体" w:hAnsi="宋体"/>
          <w:color w:val="000000" w:themeColor="text1"/>
          <w:kern w:val="0"/>
          <w:sz w:val="24"/>
          <w:szCs w:val="22"/>
          <w14:textFill>
            <w14:solidFill>
              <w14:schemeClr w14:val="tx1"/>
            </w14:solidFill>
          </w14:textFill>
        </w:rPr>
        <w:t>需要的专业核心技术技能，实现德智体美劳全面发展，总体上须达到以下要求：</w:t>
      </w:r>
    </w:p>
    <w:p w14:paraId="59481F06">
      <w:pPr>
        <w:adjustRightInd w:val="0"/>
        <w:snapToGrid w:val="0"/>
        <w:spacing w:line="480" w:lineRule="exact"/>
        <w:ind w:firstLine="480" w:firstLineChars="200"/>
        <w:rPr>
          <w:rFonts w:hint="eastAsia" w:ascii="楷体" w:hAnsi="楷体" w:eastAsia="楷体"/>
          <w:color w:val="000000" w:themeColor="text1"/>
          <w:kern w:val="0"/>
          <w:sz w:val="24"/>
          <w:szCs w:val="22"/>
          <w14:textFill>
            <w14:solidFill>
              <w14:schemeClr w14:val="tx1"/>
            </w14:solidFill>
          </w14:textFill>
        </w:rPr>
      </w:pPr>
      <w:r>
        <w:rPr>
          <w:rFonts w:hint="eastAsia" w:ascii="楷体" w:hAnsi="楷体" w:eastAsia="楷体"/>
          <w:color w:val="000000" w:themeColor="text1"/>
          <w:kern w:val="0"/>
          <w:sz w:val="24"/>
          <w:szCs w:val="22"/>
          <w14:textFill>
            <w14:solidFill>
              <w14:schemeClr w14:val="tx1"/>
            </w14:solidFill>
          </w14:textFill>
        </w:rPr>
        <w:t>1.知识要求</w:t>
      </w:r>
    </w:p>
    <w:p w14:paraId="5DD39094">
      <w:pPr>
        <w:adjustRightInd w:val="0"/>
        <w:snapToGrid w:val="0"/>
        <w:spacing w:line="480" w:lineRule="exact"/>
        <w:ind w:firstLine="480" w:firstLineChars="200"/>
        <w:rPr>
          <w:rFonts w:hint="eastAsia" w:ascii="宋体" w:hAnsi="宋体" w:eastAsia="宋体"/>
          <w:color w:val="000000" w:themeColor="text1"/>
          <w:kern w:val="0"/>
          <w:sz w:val="24"/>
          <w:szCs w:val="22"/>
          <w:lang w:eastAsia="zh-CN"/>
          <w14:textFill>
            <w14:solidFill>
              <w14:schemeClr w14:val="tx1"/>
            </w14:solidFill>
          </w14:textFill>
        </w:rPr>
      </w:pPr>
      <w:r>
        <w:rPr>
          <w:rFonts w:hint="eastAsia" w:ascii="宋体" w:hAnsi="宋体"/>
          <w:color w:val="000000" w:themeColor="text1"/>
          <w:kern w:val="0"/>
          <w:sz w:val="24"/>
          <w:szCs w:val="22"/>
          <w:lang w:val="en-US" w:eastAsia="zh-CN"/>
          <w14:textFill>
            <w14:solidFill>
              <w14:schemeClr w14:val="tx1"/>
            </w14:solidFill>
          </w14:textFill>
        </w:rPr>
        <w:t>(1</w:t>
      </w:r>
      <w:r>
        <w:rPr>
          <w:rFonts w:hint="eastAsia" w:ascii="宋体" w:hAnsi="宋体"/>
          <w:color w:val="000000" w:themeColor="text1"/>
          <w:kern w:val="0"/>
          <w:sz w:val="24"/>
          <w:szCs w:val="22"/>
          <w14:textFill>
            <w14:solidFill>
              <w14:schemeClr w14:val="tx1"/>
            </w14:solidFill>
          </w14:textFill>
        </w:rPr>
        <w:t>）掌握与本专业对应职业活动相关的国家法律、行业规定，掌握绿色生产、环境保护、安全防护、质量管理等相关知识与技能</w:t>
      </w:r>
      <w:r>
        <w:rPr>
          <w:rFonts w:hint="eastAsia" w:ascii="宋体" w:hAnsi="宋体"/>
          <w:color w:val="000000" w:themeColor="text1"/>
          <w:kern w:val="0"/>
          <w:sz w:val="24"/>
          <w:szCs w:val="22"/>
          <w:lang w:eastAsia="zh-CN"/>
          <w14:textFill>
            <w14:solidFill>
              <w14:schemeClr w14:val="tx1"/>
            </w14:solidFill>
          </w14:textFill>
        </w:rPr>
        <w:t>，</w:t>
      </w:r>
      <w:r>
        <w:rPr>
          <w:rFonts w:hint="eastAsia" w:ascii="宋体" w:hAnsi="宋体"/>
          <w:color w:val="000000" w:themeColor="text1"/>
          <w:kern w:val="0"/>
          <w:sz w:val="24"/>
          <w:szCs w:val="22"/>
          <w14:textFill>
            <w14:solidFill>
              <w14:schemeClr w14:val="tx1"/>
            </w14:solidFill>
          </w14:textFill>
        </w:rPr>
        <w:t>了解相关行业文化，具有爱岗敬业的职业精神，遵守职业道德准则和行为规范，具备社会责任感和担当精神</w:t>
      </w:r>
      <w:r>
        <w:rPr>
          <w:rFonts w:hint="eastAsia" w:ascii="宋体" w:hAnsi="宋体"/>
          <w:color w:val="000000" w:themeColor="text1"/>
          <w:kern w:val="0"/>
          <w:sz w:val="24"/>
          <w:szCs w:val="22"/>
          <w:lang w:eastAsia="zh-CN"/>
          <w14:textFill>
            <w14:solidFill>
              <w14:schemeClr w14:val="tx1"/>
            </w14:solidFill>
          </w14:textFill>
        </w:rPr>
        <w:t>；</w:t>
      </w:r>
    </w:p>
    <w:p w14:paraId="3A9FD44D">
      <w:pPr>
        <w:adjustRightInd w:val="0"/>
        <w:snapToGrid w:val="0"/>
        <w:spacing w:line="480" w:lineRule="exact"/>
        <w:ind w:firstLine="480" w:firstLineChars="200"/>
        <w:rPr>
          <w:rFonts w:hint="eastAsia" w:ascii="宋体" w:hAnsi="宋体" w:eastAsia="宋体"/>
          <w:color w:val="000000" w:themeColor="text1"/>
          <w:kern w:val="0"/>
          <w:sz w:val="24"/>
          <w:szCs w:val="22"/>
          <w:lang w:eastAsia="zh-CN"/>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w:t>
      </w:r>
      <w:r>
        <w:rPr>
          <w:rFonts w:hint="eastAsia" w:ascii="宋体" w:hAnsi="宋体"/>
          <w:color w:val="000000" w:themeColor="text1"/>
          <w:kern w:val="0"/>
          <w:sz w:val="24"/>
          <w:szCs w:val="22"/>
          <w:lang w:val="en-US" w:eastAsia="zh-CN"/>
          <w14:textFill>
            <w14:solidFill>
              <w14:schemeClr w14:val="tx1"/>
            </w14:solidFill>
          </w14:textFill>
        </w:rPr>
        <w:t>2</w:t>
      </w:r>
      <w:r>
        <w:rPr>
          <w:rFonts w:hint="eastAsia" w:ascii="宋体" w:hAnsi="宋体"/>
          <w:color w:val="000000" w:themeColor="text1"/>
          <w:kern w:val="0"/>
          <w:sz w:val="24"/>
          <w:szCs w:val="22"/>
          <w14:textFill>
            <w14:solidFill>
              <w14:schemeClr w14:val="tx1"/>
            </w14:solidFill>
          </w14:textFill>
        </w:rPr>
        <w:t>）掌握支撑本专业学习和可持续发展必备的语文、数学、外语（英语等）、信息技术等文化基础知识，具有良好的人文素养与科学素养</w:t>
      </w:r>
      <w:r>
        <w:rPr>
          <w:rFonts w:hint="eastAsia" w:ascii="宋体" w:hAnsi="宋体"/>
          <w:color w:val="000000" w:themeColor="text1"/>
          <w:kern w:val="0"/>
          <w:sz w:val="24"/>
          <w:szCs w:val="22"/>
          <w:lang w:eastAsia="zh-CN"/>
          <w14:textFill>
            <w14:solidFill>
              <w14:schemeClr w14:val="tx1"/>
            </w14:solidFill>
          </w14:textFill>
        </w:rPr>
        <w:t>，</w:t>
      </w:r>
      <w:r>
        <w:rPr>
          <w:rFonts w:hint="eastAsia" w:ascii="宋体" w:hAnsi="宋体"/>
          <w:color w:val="000000" w:themeColor="text1"/>
          <w:kern w:val="0"/>
          <w:sz w:val="24"/>
          <w:szCs w:val="22"/>
          <w14:textFill>
            <w14:solidFill>
              <w14:schemeClr w14:val="tx1"/>
            </w14:solidFill>
          </w14:textFill>
        </w:rPr>
        <w:t>具备职业生涯规划能力</w:t>
      </w:r>
      <w:r>
        <w:rPr>
          <w:rFonts w:hint="eastAsia" w:ascii="宋体" w:hAnsi="宋体"/>
          <w:color w:val="000000" w:themeColor="text1"/>
          <w:kern w:val="0"/>
          <w:sz w:val="24"/>
          <w:szCs w:val="22"/>
          <w:lang w:eastAsia="zh-CN"/>
          <w14:textFill>
            <w14:solidFill>
              <w14:schemeClr w14:val="tx1"/>
            </w14:solidFill>
          </w14:textFill>
        </w:rPr>
        <w:t>；</w:t>
      </w:r>
    </w:p>
    <w:p w14:paraId="3A55D8B4">
      <w:pPr>
        <w:adjustRightInd w:val="0"/>
        <w:snapToGrid w:val="0"/>
        <w:spacing w:line="480" w:lineRule="exact"/>
        <w:ind w:firstLine="480" w:firstLineChars="200"/>
        <w:rPr>
          <w:rFonts w:hint="eastAsia" w:ascii="宋体" w:hAnsi="宋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w:t>
      </w:r>
      <w:r>
        <w:rPr>
          <w:rFonts w:hint="eastAsia" w:ascii="宋体" w:hAnsi="宋体"/>
          <w:color w:val="000000" w:themeColor="text1"/>
          <w:kern w:val="0"/>
          <w:sz w:val="24"/>
          <w:szCs w:val="22"/>
          <w:lang w:val="en-US" w:eastAsia="zh-CN"/>
          <w14:textFill>
            <w14:solidFill>
              <w14:schemeClr w14:val="tx1"/>
            </w14:solidFill>
          </w14:textFill>
        </w:rPr>
        <w:t>3</w:t>
      </w:r>
      <w:r>
        <w:rPr>
          <w:rFonts w:hint="eastAsia" w:ascii="宋体" w:hAnsi="宋体"/>
          <w:color w:val="000000" w:themeColor="text1"/>
          <w:kern w:val="0"/>
          <w:sz w:val="24"/>
          <w:szCs w:val="22"/>
          <w14:textFill>
            <w14:solidFill>
              <w14:schemeClr w14:val="tx1"/>
            </w14:solidFill>
          </w14:textFill>
        </w:rPr>
        <w:t>）掌握现代信息技术、会计核算、经济管理、财务分析等方面的专业基础理论知识，具体包括：</w:t>
      </w:r>
    </w:p>
    <w:p w14:paraId="17FEF37F">
      <w:pPr>
        <w:adjustRightInd w:val="0"/>
        <w:snapToGrid w:val="0"/>
        <w:spacing w:line="480" w:lineRule="exact"/>
        <w:ind w:firstLine="480" w:firstLineChars="200"/>
        <w:rPr>
          <w:rFonts w:hint="eastAsia" w:ascii="宋体" w:hAnsi="宋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①掌握经济、统计、财政金融、市场营销、企业管理等基础知识；</w:t>
      </w:r>
    </w:p>
    <w:p w14:paraId="03ACE266">
      <w:pPr>
        <w:adjustRightInd w:val="0"/>
        <w:snapToGrid w:val="0"/>
        <w:spacing w:line="480" w:lineRule="exact"/>
        <w:ind w:firstLine="480" w:firstLineChars="200"/>
        <w:rPr>
          <w:rFonts w:hint="eastAsia" w:ascii="宋体" w:hAnsi="宋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②掌握会计核算、成本计算、成本管理、税费申报与管理、管理会计、财务分析、企业内部控制等理论知识；</w:t>
      </w:r>
    </w:p>
    <w:p w14:paraId="5F5246A5">
      <w:pPr>
        <w:adjustRightInd w:val="0"/>
        <w:snapToGrid w:val="0"/>
        <w:spacing w:line="480" w:lineRule="exact"/>
        <w:ind w:firstLine="480" w:firstLineChars="200"/>
        <w:rPr>
          <w:rFonts w:hint="eastAsia" w:ascii="宋体" w:hAnsi="宋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③掌握大数据技术、数据库技术等基础知识；</w:t>
      </w:r>
    </w:p>
    <w:p w14:paraId="715B4E5A">
      <w:pPr>
        <w:adjustRightInd w:val="0"/>
        <w:snapToGrid w:val="0"/>
        <w:spacing w:line="480" w:lineRule="exact"/>
        <w:ind w:firstLine="480" w:firstLineChars="200"/>
        <w:rPr>
          <w:rFonts w:hint="eastAsia" w:ascii="宋体" w:hAnsi="宋体" w:eastAsia="宋体"/>
          <w:color w:val="000000" w:themeColor="text1"/>
          <w:kern w:val="0"/>
          <w:sz w:val="24"/>
          <w:szCs w:val="22"/>
          <w:lang w:eastAsia="zh-CN"/>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④掌握社会审计与内部审计等基础知识</w:t>
      </w:r>
      <w:r>
        <w:rPr>
          <w:rFonts w:hint="eastAsia" w:ascii="宋体" w:hAnsi="宋体"/>
          <w:color w:val="000000" w:themeColor="text1"/>
          <w:kern w:val="0"/>
          <w:sz w:val="24"/>
          <w:szCs w:val="22"/>
          <w:lang w:eastAsia="zh-CN"/>
          <w14:textFill>
            <w14:solidFill>
              <w14:schemeClr w14:val="tx1"/>
            </w14:solidFill>
          </w14:textFill>
        </w:rPr>
        <w:t>。</w:t>
      </w:r>
    </w:p>
    <w:p w14:paraId="5C8F9406">
      <w:pPr>
        <w:adjustRightInd w:val="0"/>
        <w:snapToGrid w:val="0"/>
        <w:spacing w:line="480" w:lineRule="exact"/>
        <w:ind w:firstLine="480" w:firstLineChars="200"/>
        <w:rPr>
          <w:rFonts w:hint="eastAsia" w:ascii="宋体" w:hAnsi="宋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（4）掌握企业财务会计、智能化成本核算与管理、企业财务管理、智慧化税 费申报与管理、大数据财务分析、管理会计实务、会计信息化等专业知识；</w:t>
      </w:r>
    </w:p>
    <w:p w14:paraId="662842D8">
      <w:pPr>
        <w:adjustRightInd w:val="0"/>
        <w:snapToGrid w:val="0"/>
        <w:spacing w:line="480" w:lineRule="exact"/>
        <w:ind w:firstLine="480" w:firstLineChars="200"/>
        <w:rPr>
          <w:rFonts w:hint="eastAsia" w:ascii="宋体" w:hAnsi="宋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（5）掌握财务审计、企业内部控制等专业知识；</w:t>
      </w:r>
    </w:p>
    <w:p w14:paraId="59B427DE">
      <w:pPr>
        <w:adjustRightInd w:val="0"/>
        <w:snapToGrid w:val="0"/>
        <w:spacing w:line="480" w:lineRule="exact"/>
        <w:ind w:firstLine="480" w:firstLineChars="200"/>
        <w:rPr>
          <w:rFonts w:hint="eastAsia" w:ascii="宋体" w:hAnsi="宋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（6）掌握现代信息技术，特别是大数据、云计算、人工智能技术相关知识；</w:t>
      </w:r>
    </w:p>
    <w:p w14:paraId="2AB7B63C">
      <w:pPr>
        <w:adjustRightInd w:val="0"/>
        <w:snapToGrid w:val="0"/>
        <w:spacing w:line="480" w:lineRule="exact"/>
        <w:ind w:firstLine="480" w:firstLineChars="200"/>
        <w:rPr>
          <w:rFonts w:hint="eastAsia" w:ascii="宋体" w:hAnsi="宋体" w:eastAsia="宋体" w:cs="宋体"/>
          <w:sz w:val="24"/>
          <w:szCs w:val="24"/>
          <w:lang w:eastAsia="zh-CN"/>
        </w:rPr>
      </w:pPr>
      <w:r>
        <w:rPr>
          <w:rFonts w:hint="eastAsia" w:ascii="宋体" w:hAnsi="宋体"/>
          <w:color w:val="000000" w:themeColor="text1"/>
          <w:kern w:val="0"/>
          <w:sz w:val="24"/>
          <w:szCs w:val="22"/>
          <w14:textFill>
            <w14:solidFill>
              <w14:schemeClr w14:val="tx1"/>
            </w14:solidFill>
          </w14:textFill>
        </w:rPr>
        <w:t>（7）了解国内外会计与大数据交叉行业发展情况以及相关前沿新理论</w:t>
      </w:r>
      <w:r>
        <w:rPr>
          <w:rFonts w:hint="eastAsia" w:ascii="宋体" w:hAnsi="宋体"/>
          <w:color w:val="000000" w:themeColor="text1"/>
          <w:kern w:val="0"/>
          <w:sz w:val="24"/>
          <w:szCs w:val="22"/>
          <w:lang w:eastAsia="zh-CN"/>
          <w14:textFill>
            <w14:solidFill>
              <w14:schemeClr w14:val="tx1"/>
            </w14:solidFill>
          </w14:textFill>
        </w:rPr>
        <w:t>。</w:t>
      </w:r>
    </w:p>
    <w:p w14:paraId="5CB47B52">
      <w:pPr>
        <w:adjustRightInd w:val="0"/>
        <w:snapToGrid w:val="0"/>
        <w:spacing w:line="480" w:lineRule="exact"/>
        <w:ind w:firstLine="480" w:firstLineChars="200"/>
        <w:rPr>
          <w:rFonts w:ascii="楷体" w:hAnsi="楷体" w:eastAsia="楷体"/>
          <w:color w:val="000000" w:themeColor="text1"/>
          <w:kern w:val="0"/>
          <w:sz w:val="24"/>
          <w:szCs w:val="22"/>
          <w14:textFill>
            <w14:solidFill>
              <w14:schemeClr w14:val="tx1"/>
            </w14:solidFill>
          </w14:textFill>
        </w:rPr>
      </w:pPr>
      <w:r>
        <w:rPr>
          <w:rFonts w:hint="eastAsia" w:ascii="楷体" w:hAnsi="楷体" w:eastAsia="楷体"/>
          <w:color w:val="000000" w:themeColor="text1"/>
          <w:kern w:val="0"/>
          <w:sz w:val="24"/>
          <w:szCs w:val="22"/>
          <w14:textFill>
            <w14:solidFill>
              <w14:schemeClr w14:val="tx1"/>
            </w14:solidFill>
          </w14:textFill>
        </w:rPr>
        <w:t>2.能力要求</w:t>
      </w:r>
    </w:p>
    <w:p w14:paraId="504547F8">
      <w:pPr>
        <w:adjustRightInd w:val="0"/>
        <w:snapToGrid w:val="0"/>
        <w:spacing w:line="480" w:lineRule="exact"/>
        <w:ind w:firstLine="480" w:firstLineChars="200"/>
        <w:rPr>
          <w:rFonts w:hint="eastAsia" w:ascii="宋体" w:hAnsi="宋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（1）运用云财务智能会计平台、财务共享服务平台、业务财务一体化信息系统以</w:t>
      </w:r>
      <w:r>
        <w:rPr>
          <w:rFonts w:hint="eastAsia" w:ascii="宋体" w:hAnsi="宋体"/>
          <w:color w:val="000000" w:themeColor="text1"/>
          <w:kern w:val="0"/>
          <w:sz w:val="24"/>
          <w:szCs w:val="22"/>
          <w:lang w:val="en-US" w:eastAsia="zh-CN"/>
          <w14:textFill>
            <w14:solidFill>
              <w14:schemeClr w14:val="tx1"/>
            </w14:solidFill>
          </w14:textFill>
        </w:rPr>
        <w:t xml:space="preserve">    </w:t>
      </w:r>
      <w:r>
        <w:rPr>
          <w:rFonts w:hint="eastAsia" w:ascii="宋体" w:hAnsi="宋体"/>
          <w:color w:val="000000" w:themeColor="text1"/>
          <w:kern w:val="0"/>
          <w:sz w:val="24"/>
          <w:szCs w:val="22"/>
          <w14:textFill>
            <w14:solidFill>
              <w14:schemeClr w14:val="tx1"/>
            </w14:solidFill>
          </w14:textFill>
        </w:rPr>
        <w:t>及财务机器人进行业务财务处理的技能；</w:t>
      </w:r>
    </w:p>
    <w:p w14:paraId="55512A3E">
      <w:pPr>
        <w:adjustRightInd w:val="0"/>
        <w:snapToGrid w:val="0"/>
        <w:spacing w:line="480" w:lineRule="exact"/>
        <w:ind w:firstLine="480" w:firstLineChars="200"/>
        <w:rPr>
          <w:rFonts w:hint="eastAsia" w:ascii="宋体" w:hAnsi="宋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lang w:val="en-US" w:eastAsia="zh-CN"/>
          <w14:textFill>
            <w14:solidFill>
              <w14:schemeClr w14:val="tx1"/>
            </w14:solidFill>
          </w14:textFill>
        </w:rPr>
        <w:t>(2)</w:t>
      </w:r>
      <w:r>
        <w:rPr>
          <w:rFonts w:hint="eastAsia" w:ascii="宋体" w:hAnsi="宋体"/>
          <w:color w:val="000000" w:themeColor="text1"/>
          <w:kern w:val="0"/>
          <w:sz w:val="24"/>
          <w:szCs w:val="22"/>
          <w14:textFill>
            <w14:solidFill>
              <w14:schemeClr w14:val="tx1"/>
            </w14:solidFill>
          </w14:textFill>
        </w:rPr>
        <w:t xml:space="preserve"> 具有运用ERP系统进行业务财务流程、内容和制度一体化设计的基本能力；</w:t>
      </w:r>
    </w:p>
    <w:p w14:paraId="4DC0E9C2">
      <w:pPr>
        <w:adjustRightInd w:val="0"/>
        <w:snapToGrid w:val="0"/>
        <w:spacing w:line="480" w:lineRule="exact"/>
        <w:ind w:firstLine="480" w:firstLineChars="200"/>
        <w:rPr>
          <w:rFonts w:hint="eastAsia" w:ascii="宋体" w:hAnsi="宋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lang w:val="en-US" w:eastAsia="zh-CN"/>
          <w14:textFill>
            <w14:solidFill>
              <w14:schemeClr w14:val="tx1"/>
            </w14:solidFill>
          </w14:textFill>
        </w:rPr>
        <w:t>(3)</w:t>
      </w:r>
      <w:r>
        <w:rPr>
          <w:rFonts w:hint="eastAsia" w:ascii="宋体" w:hAnsi="宋体"/>
          <w:color w:val="000000" w:themeColor="text1"/>
          <w:kern w:val="0"/>
          <w:sz w:val="24"/>
          <w:szCs w:val="22"/>
          <w14:textFill>
            <w14:solidFill>
              <w14:schemeClr w14:val="tx1"/>
            </w14:solidFill>
          </w14:textFill>
        </w:rPr>
        <w:t xml:space="preserve"> 具有运用管理会计的基本方法和工具进行资金管理、成本管理、营运管理、绩</w:t>
      </w:r>
      <w:r>
        <w:rPr>
          <w:rFonts w:hint="eastAsia" w:ascii="宋体" w:hAnsi="宋体"/>
          <w:color w:val="000000" w:themeColor="text1"/>
          <w:kern w:val="0"/>
          <w:sz w:val="24"/>
          <w:szCs w:val="22"/>
          <w:lang w:val="en-US" w:eastAsia="zh-CN"/>
          <w14:textFill>
            <w14:solidFill>
              <w14:schemeClr w14:val="tx1"/>
            </w14:solidFill>
          </w14:textFill>
        </w:rPr>
        <w:t xml:space="preserve"> </w:t>
      </w:r>
      <w:r>
        <w:rPr>
          <w:rFonts w:hint="eastAsia" w:ascii="宋体" w:hAnsi="宋体"/>
          <w:color w:val="000000" w:themeColor="text1"/>
          <w:kern w:val="0"/>
          <w:sz w:val="24"/>
          <w:szCs w:val="22"/>
          <w14:textFill>
            <w14:solidFill>
              <w14:schemeClr w14:val="tx1"/>
            </w14:solidFill>
          </w14:textFill>
        </w:rPr>
        <w:t>效管理的基本能力；</w:t>
      </w:r>
    </w:p>
    <w:p w14:paraId="5C527ECE">
      <w:pPr>
        <w:adjustRightInd w:val="0"/>
        <w:snapToGrid w:val="0"/>
        <w:spacing w:line="480" w:lineRule="exact"/>
        <w:ind w:firstLine="480" w:firstLineChars="200"/>
        <w:rPr>
          <w:rFonts w:hint="eastAsia" w:ascii="宋体" w:hAnsi="宋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lang w:val="en-US" w:eastAsia="zh-CN"/>
          <w14:textFill>
            <w14:solidFill>
              <w14:schemeClr w14:val="tx1"/>
            </w14:solidFill>
          </w14:textFill>
        </w:rPr>
        <w:t>(4)</w:t>
      </w:r>
      <w:r>
        <w:rPr>
          <w:rFonts w:hint="eastAsia" w:ascii="宋体" w:hAnsi="宋体"/>
          <w:color w:val="000000" w:themeColor="text1"/>
          <w:kern w:val="0"/>
          <w:sz w:val="24"/>
          <w:szCs w:val="22"/>
          <w14:textFill>
            <w14:solidFill>
              <w14:schemeClr w14:val="tx1"/>
            </w14:solidFill>
          </w14:textFill>
        </w:rPr>
        <w:t xml:space="preserve"> 具有撰写财务与成本分析报告的能力，能应用大数据技术进行业务财务数据收</w:t>
      </w:r>
      <w:r>
        <w:rPr>
          <w:rFonts w:hint="eastAsia" w:ascii="宋体" w:hAnsi="宋体"/>
          <w:color w:val="000000" w:themeColor="text1"/>
          <w:kern w:val="0"/>
          <w:sz w:val="24"/>
          <w:szCs w:val="22"/>
          <w:lang w:val="en-US" w:eastAsia="zh-CN"/>
          <w14:textFill>
            <w14:solidFill>
              <w14:schemeClr w14:val="tx1"/>
            </w14:solidFill>
          </w14:textFill>
        </w:rPr>
        <w:t xml:space="preserve"> </w:t>
      </w:r>
      <w:r>
        <w:rPr>
          <w:rFonts w:hint="eastAsia" w:ascii="宋体" w:hAnsi="宋体"/>
          <w:color w:val="000000" w:themeColor="text1"/>
          <w:kern w:val="0"/>
          <w:sz w:val="24"/>
          <w:szCs w:val="22"/>
          <w14:textFill>
            <w14:solidFill>
              <w14:schemeClr w14:val="tx1"/>
            </w14:solidFill>
          </w14:textFill>
        </w:rPr>
        <w:t>集、清洗、整理、挖掘和可视化输出；</w:t>
      </w:r>
    </w:p>
    <w:p w14:paraId="43209155">
      <w:pPr>
        <w:adjustRightInd w:val="0"/>
        <w:snapToGrid w:val="0"/>
        <w:spacing w:line="480" w:lineRule="exact"/>
        <w:ind w:firstLine="480" w:firstLineChars="200"/>
        <w:rPr>
          <w:rFonts w:hint="eastAsia" w:ascii="宋体" w:hAnsi="宋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lang w:val="en-US" w:eastAsia="zh-CN"/>
          <w14:textFill>
            <w14:solidFill>
              <w14:schemeClr w14:val="tx1"/>
            </w14:solidFill>
          </w14:textFill>
        </w:rPr>
        <w:t>(5)</w:t>
      </w:r>
      <w:r>
        <w:rPr>
          <w:rFonts w:hint="eastAsia" w:ascii="宋体" w:hAnsi="宋体"/>
          <w:color w:val="000000" w:themeColor="text1"/>
          <w:kern w:val="0"/>
          <w:sz w:val="24"/>
          <w:szCs w:val="22"/>
          <w14:textFill>
            <w14:solidFill>
              <w14:schemeClr w14:val="tx1"/>
            </w14:solidFill>
          </w14:textFill>
        </w:rPr>
        <w:t xml:space="preserve"> 具有运用内部控制方法和技术，识别企业风险、实施内部会计控制及内部控制</w:t>
      </w:r>
      <w:r>
        <w:rPr>
          <w:rFonts w:hint="eastAsia" w:ascii="宋体" w:hAnsi="宋体"/>
          <w:color w:val="000000" w:themeColor="text1"/>
          <w:kern w:val="0"/>
          <w:sz w:val="24"/>
          <w:szCs w:val="22"/>
          <w:lang w:val="en-US" w:eastAsia="zh-CN"/>
          <w14:textFill>
            <w14:solidFill>
              <w14:schemeClr w14:val="tx1"/>
            </w14:solidFill>
          </w14:textFill>
        </w:rPr>
        <w:t xml:space="preserve"> </w:t>
      </w:r>
      <w:r>
        <w:rPr>
          <w:rFonts w:hint="eastAsia" w:ascii="宋体" w:hAnsi="宋体"/>
          <w:color w:val="000000" w:themeColor="text1"/>
          <w:kern w:val="0"/>
          <w:sz w:val="24"/>
          <w:szCs w:val="22"/>
          <w14:textFill>
            <w14:solidFill>
              <w14:schemeClr w14:val="tx1"/>
            </w14:solidFill>
          </w14:textFill>
        </w:rPr>
        <w:t>审计的能力；</w:t>
      </w:r>
    </w:p>
    <w:p w14:paraId="3681DAAA">
      <w:pPr>
        <w:adjustRightInd w:val="0"/>
        <w:snapToGrid w:val="0"/>
        <w:spacing w:line="480" w:lineRule="exact"/>
        <w:ind w:firstLine="480" w:firstLineChars="200"/>
        <w:rPr>
          <w:rFonts w:ascii="宋体" w:hAnsi="宋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lang w:val="en-US" w:eastAsia="zh-CN"/>
          <w14:textFill>
            <w14:solidFill>
              <w14:schemeClr w14:val="tx1"/>
            </w14:solidFill>
          </w14:textFill>
        </w:rPr>
        <w:t>(6)</w:t>
      </w:r>
      <w:r>
        <w:rPr>
          <w:rFonts w:hint="eastAsia" w:ascii="宋体" w:hAnsi="宋体"/>
          <w:color w:val="000000" w:themeColor="text1"/>
          <w:kern w:val="0"/>
          <w:sz w:val="24"/>
          <w:szCs w:val="22"/>
          <w14:textFill>
            <w14:solidFill>
              <w14:schemeClr w14:val="tx1"/>
            </w14:solidFill>
          </w14:textFill>
        </w:rPr>
        <w:t xml:space="preserve"> 具有收集整理审计证据和有关审计信息，编制审计工作底稿，协助审计人员编</w:t>
      </w:r>
      <w:r>
        <w:rPr>
          <w:rFonts w:hint="eastAsia" w:ascii="宋体" w:hAnsi="宋体"/>
          <w:color w:val="000000" w:themeColor="text1"/>
          <w:kern w:val="0"/>
          <w:sz w:val="24"/>
          <w:szCs w:val="22"/>
          <w:lang w:val="en-US" w:eastAsia="zh-CN"/>
          <w14:textFill>
            <w14:solidFill>
              <w14:schemeClr w14:val="tx1"/>
            </w14:solidFill>
          </w14:textFill>
        </w:rPr>
        <w:t xml:space="preserve"> </w:t>
      </w:r>
      <w:r>
        <w:rPr>
          <w:rFonts w:hint="eastAsia" w:ascii="宋体" w:hAnsi="宋体"/>
          <w:color w:val="000000" w:themeColor="text1"/>
          <w:kern w:val="0"/>
          <w:sz w:val="24"/>
          <w:szCs w:val="22"/>
          <w14:textFill>
            <w14:solidFill>
              <w14:schemeClr w14:val="tx1"/>
            </w14:solidFill>
          </w14:textFill>
        </w:rPr>
        <w:t>制审计报告的审计工作能力；</w:t>
      </w:r>
    </w:p>
    <w:p w14:paraId="1D02478C">
      <w:pPr>
        <w:adjustRightInd w:val="0"/>
        <w:snapToGrid w:val="0"/>
        <w:spacing w:line="480" w:lineRule="exact"/>
        <w:ind w:firstLine="480" w:firstLineChars="200"/>
        <w:rPr>
          <w:rFonts w:hint="eastAsia" w:ascii="宋体" w:hAnsi="宋体"/>
          <w:color w:val="000000" w:themeColor="text1"/>
          <w:kern w:val="0"/>
          <w:sz w:val="24"/>
          <w:szCs w:val="22"/>
          <w:lang w:val="en-US" w:eastAsia="zh-CN"/>
          <w14:textFill>
            <w14:solidFill>
              <w14:schemeClr w14:val="tx1"/>
            </w14:solidFill>
          </w14:textFill>
        </w:rPr>
      </w:pPr>
      <w:r>
        <w:rPr>
          <w:rFonts w:hint="eastAsia" w:ascii="宋体" w:hAnsi="宋体"/>
          <w:color w:val="000000" w:themeColor="text1"/>
          <w:kern w:val="0"/>
          <w:sz w:val="24"/>
          <w:szCs w:val="22"/>
          <w:lang w:val="en-US" w:eastAsia="zh-CN"/>
          <w14:textFill>
            <w14:solidFill>
              <w14:schemeClr w14:val="tx1"/>
            </w14:solidFill>
          </w14:textFill>
        </w:rPr>
        <w:t xml:space="preserve"> (7）具有探究学习、终身学习和可持续发展的能力，具有整合知识和综合运用知   识分析问题和解决问题的能力；</w:t>
      </w:r>
    </w:p>
    <w:p w14:paraId="202ECA6B">
      <w:pPr>
        <w:adjustRightInd w:val="0"/>
        <w:snapToGrid w:val="0"/>
        <w:spacing w:line="480" w:lineRule="exact"/>
        <w:ind w:firstLine="480" w:firstLineChars="200"/>
        <w:rPr>
          <w:rFonts w:hint="eastAsia" w:ascii="宋体" w:hAnsi="宋体"/>
          <w:color w:val="000000" w:themeColor="text1"/>
          <w:kern w:val="0"/>
          <w:sz w:val="24"/>
          <w:szCs w:val="22"/>
          <w:lang w:val="en-US" w:eastAsia="zh-CN"/>
          <w14:textFill>
            <w14:solidFill>
              <w14:schemeClr w14:val="tx1"/>
            </w14:solidFill>
          </w14:textFill>
        </w:rPr>
      </w:pPr>
      <w:r>
        <w:rPr>
          <w:rFonts w:hint="eastAsia" w:ascii="宋体" w:hAnsi="宋体"/>
          <w:color w:val="000000" w:themeColor="text1"/>
          <w:kern w:val="0"/>
          <w:sz w:val="24"/>
          <w:szCs w:val="22"/>
          <w:lang w:val="en-US" w:eastAsia="zh-CN"/>
          <w14:textFill>
            <w14:solidFill>
              <w14:schemeClr w14:val="tx1"/>
            </w14:solidFill>
          </w14:textFill>
        </w:rPr>
        <w:t xml:space="preserve"> (8)具有选择合理结算方式，完成资金收付结算的能力；</w:t>
      </w:r>
    </w:p>
    <w:p w14:paraId="544D4374">
      <w:pPr>
        <w:adjustRightInd w:val="0"/>
        <w:snapToGrid w:val="0"/>
        <w:spacing w:line="480" w:lineRule="exact"/>
        <w:ind w:firstLine="480" w:firstLineChars="200"/>
        <w:rPr>
          <w:rFonts w:hint="eastAsia" w:ascii="宋体" w:hAnsi="宋体"/>
          <w:color w:val="000000" w:themeColor="text1"/>
          <w:kern w:val="0"/>
          <w:sz w:val="24"/>
          <w:szCs w:val="22"/>
          <w:lang w:val="en-US" w:eastAsia="zh-CN"/>
          <w14:textFill>
            <w14:solidFill>
              <w14:schemeClr w14:val="tx1"/>
            </w14:solidFill>
          </w14:textFill>
        </w:rPr>
      </w:pPr>
      <w:r>
        <w:rPr>
          <w:rFonts w:hint="eastAsia" w:ascii="宋体" w:hAnsi="宋体"/>
          <w:color w:val="000000" w:themeColor="text1"/>
          <w:kern w:val="0"/>
          <w:sz w:val="24"/>
          <w:szCs w:val="22"/>
          <w:lang w:val="en-US" w:eastAsia="zh-CN"/>
          <w14:textFill>
            <w14:solidFill>
              <w14:schemeClr w14:val="tx1"/>
            </w14:solidFill>
          </w14:textFill>
        </w:rPr>
        <w:t xml:space="preserve"> (9)具有对会计要素进行确认、计量，熟练审核与编制会计凭证、登记账簿以及编制财务报告的能力；</w:t>
      </w:r>
    </w:p>
    <w:p w14:paraId="0DD5F1AA">
      <w:pPr>
        <w:adjustRightInd w:val="0"/>
        <w:snapToGrid w:val="0"/>
        <w:spacing w:line="480" w:lineRule="exact"/>
        <w:ind w:firstLine="480" w:firstLineChars="200"/>
        <w:rPr>
          <w:rFonts w:hint="eastAsia" w:ascii="宋体" w:hAnsi="宋体" w:eastAsia="宋体"/>
          <w:color w:val="000000" w:themeColor="text1"/>
          <w:kern w:val="0"/>
          <w:sz w:val="24"/>
          <w:szCs w:val="22"/>
          <w:lang w:val="en-US" w:eastAsia="zh-CN"/>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w:t>
      </w:r>
      <w:r>
        <w:rPr>
          <w:rFonts w:hint="eastAsia" w:ascii="宋体" w:hAnsi="宋体"/>
          <w:color w:val="000000" w:themeColor="text1"/>
          <w:kern w:val="0"/>
          <w:sz w:val="24"/>
          <w:szCs w:val="22"/>
          <w:lang w:val="en-US" w:eastAsia="zh-CN"/>
          <w14:textFill>
            <w14:solidFill>
              <w14:schemeClr w14:val="tx1"/>
            </w14:solidFill>
          </w14:textFill>
        </w:rPr>
        <w:t>10)</w:t>
      </w:r>
      <w:r>
        <w:rPr>
          <w:rFonts w:hint="eastAsia" w:ascii="宋体" w:hAnsi="宋体"/>
          <w:color w:val="000000" w:themeColor="text1"/>
          <w:kern w:val="0"/>
          <w:sz w:val="24"/>
          <w:szCs w:val="22"/>
          <w14:textFill>
            <w14:solidFill>
              <w14:schemeClr w14:val="tx1"/>
            </w14:solidFill>
          </w14:textFill>
        </w:rPr>
        <w:t>具有适应本行业数字化和智能化发展需求的数字技能</w:t>
      </w:r>
      <w:r>
        <w:rPr>
          <w:rFonts w:hint="eastAsia" w:ascii="宋体" w:hAnsi="宋体"/>
          <w:color w:val="000000" w:themeColor="text1"/>
          <w:kern w:val="0"/>
          <w:sz w:val="24"/>
          <w:szCs w:val="22"/>
          <w:lang w:eastAsia="zh-CN"/>
          <w14:textFill>
            <w14:solidFill>
              <w14:schemeClr w14:val="tx1"/>
            </w14:solidFill>
          </w14:textFill>
        </w:rPr>
        <w:t>。</w:t>
      </w:r>
    </w:p>
    <w:p w14:paraId="3532DFF7">
      <w:pPr>
        <w:adjustRightInd w:val="0"/>
        <w:snapToGrid w:val="0"/>
        <w:spacing w:line="480" w:lineRule="exact"/>
        <w:ind w:firstLine="480" w:firstLineChars="200"/>
        <w:rPr>
          <w:rFonts w:ascii="楷体" w:hAnsi="楷体" w:eastAsia="楷体"/>
          <w:color w:val="000000" w:themeColor="text1"/>
          <w:kern w:val="0"/>
          <w:sz w:val="24"/>
          <w:szCs w:val="22"/>
          <w14:textFill>
            <w14:solidFill>
              <w14:schemeClr w14:val="tx1"/>
            </w14:solidFill>
          </w14:textFill>
        </w:rPr>
      </w:pPr>
      <w:r>
        <w:rPr>
          <w:rFonts w:hint="eastAsia" w:ascii="楷体" w:hAnsi="楷体" w:eastAsia="楷体"/>
          <w:color w:val="000000" w:themeColor="text1"/>
          <w:kern w:val="0"/>
          <w:sz w:val="24"/>
          <w:szCs w:val="22"/>
          <w14:textFill>
            <w14:solidFill>
              <w14:schemeClr w14:val="tx1"/>
            </w14:solidFill>
          </w14:textFill>
        </w:rPr>
        <w:t>3.素质要求</w:t>
      </w:r>
    </w:p>
    <w:p w14:paraId="4054E109">
      <w:pPr>
        <w:adjustRightInd w:val="0"/>
        <w:snapToGrid w:val="0"/>
        <w:spacing w:line="480" w:lineRule="exact"/>
        <w:ind w:firstLine="480" w:firstLineChars="200"/>
        <w:rPr>
          <w:rFonts w:ascii="宋体" w:hAnsi="宋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（1</w:t>
      </w:r>
      <w:r>
        <w:rPr>
          <w:rFonts w:hint="eastAsia" w:ascii="宋体" w:hAnsi="宋体"/>
          <w:color w:val="000000" w:themeColor="text1"/>
          <w:kern w:val="0"/>
          <w:sz w:val="24"/>
          <w:szCs w:val="22"/>
          <w:lang w:eastAsia="zh-CN"/>
          <w14:textFill>
            <w14:solidFill>
              <w14:schemeClr w14:val="tx1"/>
            </w14:solidFill>
          </w14:textFill>
        </w:rPr>
        <w:t>）</w:t>
      </w:r>
      <w:r>
        <w:rPr>
          <w:rFonts w:hint="eastAsia" w:ascii="宋体" w:hAnsi="宋体"/>
          <w:color w:val="000000" w:themeColor="text1"/>
          <w:kern w:val="0"/>
          <w:sz w:val="24"/>
          <w:szCs w:val="22"/>
          <w14:textFill>
            <w14:solidFill>
              <w14:schemeClr w14:val="tx1"/>
            </w14:solidFill>
          </w14:textFill>
        </w:rPr>
        <w:t>坚定拥护中国共产党领导和中国特色社会主义制度， 以习近平新时代中国特色社会主义思想为指导，践行社会主义核心价值观，具有坚定的理想信念、深厚的爱国情感和中华民族自豪感；</w:t>
      </w:r>
    </w:p>
    <w:p w14:paraId="1C7F98BC">
      <w:pPr>
        <w:adjustRightInd w:val="0"/>
        <w:snapToGrid w:val="0"/>
        <w:spacing w:line="480" w:lineRule="exact"/>
        <w:ind w:firstLine="480" w:firstLineChars="200"/>
        <w:rPr>
          <w:rFonts w:hint="eastAsia" w:ascii="宋体" w:hAnsi="宋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35F116C2">
      <w:pPr>
        <w:adjustRightInd w:val="0"/>
        <w:snapToGrid w:val="0"/>
        <w:spacing w:line="480" w:lineRule="exact"/>
        <w:ind w:firstLine="480" w:firstLineChars="200"/>
        <w:rPr>
          <w:rFonts w:hint="eastAsia" w:ascii="宋体" w:hAnsi="宋体"/>
          <w:color w:val="000000" w:themeColor="text1"/>
          <w:kern w:val="0"/>
          <w:sz w:val="24"/>
          <w:szCs w:val="22"/>
          <w:lang w:val="en-US" w:eastAsia="zh-CN"/>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（3）掌握支撑本专业学习和可持续发展必备的语文、数学、外语（英语等）、信息技术等文化基础知识，具有良好的人文素养与科学素养，具备职业生涯规划能力；</w:t>
      </w:r>
      <w:r>
        <w:rPr>
          <w:rFonts w:hint="eastAsia" w:ascii="宋体" w:hAnsi="宋体"/>
          <w:color w:val="000000" w:themeColor="text1"/>
          <w:kern w:val="0"/>
          <w:sz w:val="24"/>
          <w:szCs w:val="22"/>
          <w:lang w:val="en-US" w:eastAsia="zh-CN"/>
          <w14:textFill>
            <w14:solidFill>
              <w14:schemeClr w14:val="tx1"/>
            </w14:solidFill>
          </w14:textFill>
        </w:rPr>
        <w:t xml:space="preserve"> </w:t>
      </w:r>
    </w:p>
    <w:p w14:paraId="47DC2924">
      <w:pPr>
        <w:adjustRightInd w:val="0"/>
        <w:snapToGrid w:val="0"/>
        <w:spacing w:line="480" w:lineRule="exact"/>
        <w:ind w:firstLine="480" w:firstLineChars="200"/>
        <w:rPr>
          <w:rFonts w:ascii="宋体" w:hAnsi="宋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（4）掌握必备的美育知识，具有一定的文化修养、审美能力，形成至少1项艺术特长或爱好；</w:t>
      </w:r>
    </w:p>
    <w:p w14:paraId="07EF26D3">
      <w:pPr>
        <w:adjustRightInd w:val="0"/>
        <w:snapToGrid w:val="0"/>
        <w:spacing w:line="480" w:lineRule="exact"/>
        <w:ind w:firstLine="480" w:firstLineChars="200"/>
        <w:rPr>
          <w:rFonts w:hint="eastAsia" w:ascii="宋体" w:hAnsi="宋体" w:eastAsia="宋体"/>
          <w:color w:val="000000" w:themeColor="text1"/>
          <w:kern w:val="0"/>
          <w:sz w:val="24"/>
          <w:szCs w:val="22"/>
          <w:lang w:eastAsia="zh-CN"/>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w:t>
      </w:r>
      <w:r>
        <w:rPr>
          <w:rFonts w:ascii="宋体" w:hAnsi="宋体"/>
          <w:color w:val="000000" w:themeColor="text1"/>
          <w:kern w:val="0"/>
          <w:sz w:val="24"/>
          <w:szCs w:val="22"/>
          <w14:textFill>
            <w14:solidFill>
              <w14:schemeClr w14:val="tx1"/>
            </w14:solidFill>
          </w14:textFill>
        </w:rPr>
        <w:t>5</w:t>
      </w:r>
      <w:r>
        <w:rPr>
          <w:rFonts w:hint="eastAsia" w:ascii="宋体" w:hAnsi="宋体"/>
          <w:color w:val="000000" w:themeColor="text1"/>
          <w:kern w:val="0"/>
          <w:sz w:val="24"/>
          <w:szCs w:val="22"/>
          <w14:textFill>
            <w14:solidFill>
              <w14:schemeClr w14:val="tx1"/>
            </w14:solidFill>
          </w14:textFill>
        </w:rPr>
        <w:t>）树立正确的劳动观，尊重劳动，热爱劳动，具备与本专业职业发展相适应的劳动素养，弘扬劳模精神、劳动精神、工匠精神，弘扬劳动光荣、技能宝贵、创造伟大的时代风尚</w:t>
      </w:r>
      <w:r>
        <w:rPr>
          <w:rFonts w:hint="eastAsia" w:ascii="宋体" w:hAnsi="宋体"/>
          <w:color w:val="000000" w:themeColor="text1"/>
          <w:kern w:val="0"/>
          <w:sz w:val="24"/>
          <w:szCs w:val="22"/>
          <w:lang w:eastAsia="zh-CN"/>
          <w14:textFill>
            <w14:solidFill>
              <w14:schemeClr w14:val="tx1"/>
            </w14:solidFill>
          </w14:textFill>
        </w:rPr>
        <w:t>。</w:t>
      </w:r>
    </w:p>
    <w:p w14:paraId="280E9C4D">
      <w:pPr>
        <w:adjustRightInd w:val="0"/>
        <w:snapToGrid w:val="0"/>
        <w:spacing w:line="480" w:lineRule="exact"/>
        <w:ind w:firstLine="480" w:firstLineChars="200"/>
        <w:rPr>
          <w:rFonts w:ascii="黑体" w:hAnsi="黑体" w:eastAsia="黑体"/>
          <w:kern w:val="0"/>
          <w:sz w:val="24"/>
          <w:szCs w:val="20"/>
        </w:rPr>
      </w:pPr>
      <w:r>
        <w:rPr>
          <w:rFonts w:hint="eastAsia" w:ascii="黑体" w:hAnsi="黑体" w:eastAsia="黑体"/>
          <w:kern w:val="0"/>
          <w:sz w:val="24"/>
          <w:szCs w:val="20"/>
        </w:rPr>
        <w:t>六、课程设置及要求</w:t>
      </w:r>
    </w:p>
    <w:p w14:paraId="587BDCDC">
      <w:pPr>
        <w:adjustRightInd w:val="0"/>
        <w:snapToGrid w:val="0"/>
        <w:spacing w:line="480" w:lineRule="exact"/>
        <w:ind w:firstLine="480" w:firstLineChars="200"/>
        <w:rPr>
          <w:rFonts w:ascii="楷体" w:hAnsi="楷体" w:eastAsia="楷体"/>
          <w:color w:val="000000" w:themeColor="text1"/>
          <w:kern w:val="0"/>
          <w:sz w:val="24"/>
          <w:szCs w:val="22"/>
          <w14:textFill>
            <w14:solidFill>
              <w14:schemeClr w14:val="tx1"/>
            </w14:solidFill>
          </w14:textFill>
        </w:rPr>
      </w:pPr>
      <w:bookmarkStart w:id="4" w:name="_Toc374782069"/>
      <w:bookmarkStart w:id="5" w:name="_Toc374782070"/>
      <w:r>
        <w:rPr>
          <w:rFonts w:hint="eastAsia" w:ascii="楷体" w:hAnsi="楷体" w:eastAsia="楷体"/>
          <w:color w:val="000000" w:themeColor="text1"/>
          <w:kern w:val="0"/>
          <w:sz w:val="24"/>
          <w:szCs w:val="22"/>
          <w14:textFill>
            <w14:solidFill>
              <w14:schemeClr w14:val="tx1"/>
            </w14:solidFill>
          </w14:textFill>
        </w:rPr>
        <w:t>（一）人才培养模式</w:t>
      </w:r>
    </w:p>
    <w:p w14:paraId="6501C5E1">
      <w:pPr>
        <w:adjustRightInd w:val="0"/>
        <w:snapToGrid w:val="0"/>
        <w:spacing w:line="480" w:lineRule="exact"/>
        <w:ind w:firstLine="480" w:firstLineChars="200"/>
        <w:rPr>
          <w:rFonts w:hint="eastAsia" w:ascii="宋体" w:hAnsi="宋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贯彻学院“三线贯穿”的人才培养模式，结合行业背景与专业特色，构建“业财融合、数据赋能”的人才培养模式。</w:t>
      </w:r>
    </w:p>
    <w:p w14:paraId="3098BC1A">
      <w:pPr>
        <w:adjustRightInd w:val="0"/>
        <w:snapToGrid w:val="0"/>
        <w:spacing w:line="480" w:lineRule="exact"/>
        <w:ind w:firstLine="480" w:firstLineChars="200"/>
        <w:rPr>
          <w:rFonts w:hint="eastAsia" w:ascii="宋体" w:hAnsi="宋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以职业生涯发展为导向，以数字化职业能力培养为主线，坚持“职业能力本位、适于个性发展”原则，通过深入合作企业调研和毕业生跟踪，对大数据与会计专业的岗位设置、工作内容、典型工作任务和职业能力要求进行系统分析，归纳出会计核算、财务数据分析、税务处理、审计辅助、智能财税应用等典型工作任务，结合智能财税、财务数字化应用、大数据财务分析等职业技能等级标准，重构课程体系。设置公共基础平台，培养学生基本素质；设置专业大类平台课程，培养学生经济管理基础与数据分析基础能力；设置专业核心模块，培养学生胜任大数据与会计专业岗位的核心职业能力；设立包括通识选修课、专业拓展选修课、职业技能鉴定、专业认知与实践、技能竞赛、社团活动、创新创业实践、社会实践/公益活动的个性化发展模块，满足学生多元化成长需求，形成“业技融合、数智赋能、课证赛岗互通”的课程体系。并根据专业核心技能确定《财务大数据分析》《Python在财务中的应用》《智能财税实务》《会计信息系统应用》《大数据审计实务》《企业财务会计》《成本核算与管理》等核心课程模块。</w:t>
      </w:r>
    </w:p>
    <w:p w14:paraId="689F2BC6">
      <w:pPr>
        <w:adjustRightInd w:val="0"/>
        <w:snapToGrid w:val="0"/>
        <w:spacing w:line="480" w:lineRule="exact"/>
        <w:ind w:firstLine="480" w:firstLineChars="200"/>
        <w:rPr>
          <w:rFonts w:ascii="宋体" w:hAnsi="宋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以职业能力培养为主线，重视个性化及创新精神培养，加强人文素质教育，实现“职业能力培养、创新精神培养、人文素质教育”三线贯穿。</w:t>
      </w:r>
    </w:p>
    <w:p w14:paraId="3D5F36AD">
      <w:pPr>
        <w:adjustRightInd w:val="0"/>
        <w:snapToGrid w:val="0"/>
        <w:spacing w:line="480" w:lineRule="exact"/>
        <w:ind w:firstLine="480" w:firstLineChars="200"/>
        <w:rPr>
          <w:rFonts w:hint="eastAsia" w:ascii="楷体" w:hAnsi="楷体" w:eastAsia="楷体"/>
          <w:color w:val="000000" w:themeColor="text1"/>
          <w:kern w:val="0"/>
          <w:sz w:val="24"/>
          <w:szCs w:val="22"/>
          <w14:textFill>
            <w14:solidFill>
              <w14:schemeClr w14:val="tx1"/>
            </w14:solidFill>
          </w14:textFill>
        </w:rPr>
      </w:pPr>
      <w:r>
        <w:rPr>
          <w:rFonts w:hint="eastAsia" w:ascii="楷体" w:hAnsi="楷体" w:eastAsia="楷体"/>
          <w:color w:val="000000" w:themeColor="text1"/>
          <w:kern w:val="0"/>
          <w:sz w:val="24"/>
          <w:szCs w:val="22"/>
          <w14:textFill>
            <w14:solidFill>
              <w14:schemeClr w14:val="tx1"/>
            </w14:solidFill>
          </w14:textFill>
        </w:rPr>
        <w:t>（二）课程体系设计思路</w:t>
      </w:r>
    </w:p>
    <w:p w14:paraId="76E7F766">
      <w:pPr>
        <w:adjustRightInd w:val="0"/>
        <w:snapToGrid w:val="0"/>
        <w:spacing w:line="480" w:lineRule="exact"/>
        <w:ind w:firstLine="480" w:firstLineChars="200"/>
        <w:rPr>
          <w:rFonts w:hint="eastAsia" w:ascii="宋体" w:hAnsi="宋体"/>
          <w:color w:val="000000" w:themeColor="text1"/>
          <w:kern w:val="0"/>
          <w:sz w:val="24"/>
          <w:szCs w:val="22"/>
          <w:lang w:eastAsia="zh-CN"/>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 xml:space="preserve"> 对接职业岗位，明确能力导向深入分析大数据时代下会计、财务领域的新兴岗位（如财务数据分析师、智能财税应用顾问、大数据审计助理等）与传统岗位的任职新要求。课程内容的选择与重构紧密围绕这些岗位的典型工作任务和核心能力需求，确保学生学习内容与行业发展趋势同频共振。构建“两个平台+两个模块”的课程体系遵循人才培养规律，系统构建层次分明、有机衔接的课程体系</w:t>
      </w:r>
      <w:r>
        <w:rPr>
          <w:rFonts w:hint="eastAsia" w:ascii="宋体" w:hAnsi="宋体"/>
          <w:color w:val="000000" w:themeColor="text1"/>
          <w:kern w:val="0"/>
          <w:sz w:val="24"/>
          <w:szCs w:val="22"/>
          <w:lang w:eastAsia="zh-CN"/>
          <w14:textFill>
            <w14:solidFill>
              <w14:schemeClr w14:val="tx1"/>
            </w14:solidFill>
          </w14:textFill>
        </w:rPr>
        <w:t>。</w:t>
      </w:r>
    </w:p>
    <w:p w14:paraId="681933FA">
      <w:pPr>
        <w:adjustRightInd w:val="0"/>
        <w:snapToGrid w:val="0"/>
        <w:spacing w:line="480" w:lineRule="exact"/>
        <w:ind w:firstLine="480" w:firstLineChars="200"/>
        <w:rPr>
          <w:rFonts w:hint="eastAsia" w:ascii="宋体" w:hAnsi="宋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公共基础平台：严格依据图片中要求，开设包括思想政治理论、体育、军事训练、大学英语、信息技术、创新创业教育、心理健康、中华优秀传统文化等课程（详见图片列表）</w:t>
      </w:r>
      <w:r>
        <w:rPr>
          <w:rFonts w:hint="eastAsia" w:ascii="宋体" w:hAnsi="宋体"/>
          <w:color w:val="000000" w:themeColor="text1"/>
          <w:kern w:val="0"/>
          <w:sz w:val="24"/>
          <w:szCs w:val="22"/>
          <w:lang w:eastAsia="zh-CN"/>
          <w14:textFill>
            <w14:solidFill>
              <w14:schemeClr w14:val="tx1"/>
            </w14:solidFill>
          </w14:textFill>
        </w:rPr>
        <w:t>，</w:t>
      </w:r>
      <w:r>
        <w:rPr>
          <w:rFonts w:hint="eastAsia" w:ascii="宋体" w:hAnsi="宋体"/>
          <w:color w:val="000000" w:themeColor="text1"/>
          <w:kern w:val="0"/>
          <w:sz w:val="24"/>
          <w:szCs w:val="22"/>
          <w14:textFill>
            <w14:solidFill>
              <w14:schemeClr w14:val="tx1"/>
            </w14:solidFill>
          </w14:textFill>
        </w:rPr>
        <w:t>旨在夯实学生的思想道德、人文素养和通用能力基础，促进其全面发展。</w:t>
      </w:r>
    </w:p>
    <w:p w14:paraId="157D5EC5">
      <w:pPr>
        <w:adjustRightInd w:val="0"/>
        <w:snapToGrid w:val="0"/>
        <w:spacing w:line="480" w:lineRule="exact"/>
        <w:ind w:firstLine="480" w:firstLineChars="200"/>
        <w:rPr>
          <w:rFonts w:hint="eastAsia" w:ascii="宋体" w:hAnsi="宋体"/>
          <w:color w:val="000000" w:themeColor="text1"/>
          <w:kern w:val="0"/>
          <w:sz w:val="24"/>
          <w:szCs w:val="22"/>
          <w:lang w:eastAsia="zh-CN"/>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专业大类平台：设置经济学基础、管理学基础、统计学基础、经济法、金融学概论等课程，为学生构建经管类知识框架，并重点增设Python编程基础、数据采集与处理等课程，奠定必要的数据分析技术基础</w:t>
      </w:r>
      <w:r>
        <w:rPr>
          <w:rFonts w:hint="eastAsia" w:ascii="宋体" w:hAnsi="宋体"/>
          <w:color w:val="000000" w:themeColor="text1"/>
          <w:kern w:val="0"/>
          <w:sz w:val="24"/>
          <w:szCs w:val="22"/>
          <w:lang w:eastAsia="zh-CN"/>
          <w14:textFill>
            <w14:solidFill>
              <w14:schemeClr w14:val="tx1"/>
            </w14:solidFill>
          </w14:textFill>
        </w:rPr>
        <w:t>。</w:t>
      </w:r>
    </w:p>
    <w:p w14:paraId="4C972108">
      <w:pPr>
        <w:adjustRightInd w:val="0"/>
        <w:snapToGrid w:val="0"/>
        <w:spacing w:line="480" w:lineRule="exact"/>
        <w:ind w:firstLine="480" w:firstLineChars="200"/>
        <w:rPr>
          <w:rFonts w:hint="eastAsia" w:ascii="宋体" w:hAnsi="宋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专业核心模块：聚焦大数据与会计融合的核心能力，设置企业财务会计</w:t>
      </w:r>
      <w:r>
        <w:rPr>
          <w:rFonts w:hint="eastAsia" w:ascii="宋体" w:hAnsi="宋体"/>
          <w:color w:val="000000" w:themeColor="text1"/>
          <w:kern w:val="0"/>
          <w:sz w:val="24"/>
          <w:szCs w:val="22"/>
          <w:lang w:eastAsia="zh-CN"/>
          <w14:textFill>
            <w14:solidFill>
              <w14:schemeClr w14:val="tx1"/>
            </w14:solidFill>
          </w14:textFill>
        </w:rPr>
        <w:t>、</w:t>
      </w:r>
      <w:r>
        <w:rPr>
          <w:rFonts w:hint="eastAsia" w:ascii="宋体" w:hAnsi="宋体"/>
          <w:color w:val="000000" w:themeColor="text1"/>
          <w:kern w:val="0"/>
          <w:sz w:val="24"/>
          <w:szCs w:val="22"/>
          <w14:textFill>
            <w14:solidFill>
              <w14:schemeClr w14:val="tx1"/>
            </w14:solidFill>
          </w14:textFill>
        </w:rPr>
        <w:t>智能化成本核算与管理</w:t>
      </w:r>
      <w:r>
        <w:rPr>
          <w:rFonts w:hint="eastAsia" w:ascii="宋体" w:hAnsi="宋体"/>
          <w:color w:val="000000" w:themeColor="text1"/>
          <w:kern w:val="0"/>
          <w:sz w:val="24"/>
          <w:szCs w:val="22"/>
          <w:lang w:eastAsia="zh-CN"/>
          <w14:textFill>
            <w14:solidFill>
              <w14:schemeClr w14:val="tx1"/>
            </w14:solidFill>
          </w14:textFill>
        </w:rPr>
        <w:t>、</w:t>
      </w:r>
      <w:r>
        <w:rPr>
          <w:rFonts w:hint="eastAsia" w:ascii="宋体" w:hAnsi="宋体"/>
          <w:color w:val="000000" w:themeColor="text1"/>
          <w:kern w:val="0"/>
          <w:sz w:val="24"/>
          <w:szCs w:val="22"/>
          <w14:textFill>
            <w14:solidFill>
              <w14:schemeClr w14:val="tx1"/>
            </w14:solidFill>
          </w14:textFill>
        </w:rPr>
        <w:t>会计信息系统应用</w:t>
      </w:r>
      <w:r>
        <w:rPr>
          <w:rFonts w:hint="eastAsia" w:ascii="宋体" w:hAnsi="宋体"/>
          <w:color w:val="000000" w:themeColor="text1"/>
          <w:kern w:val="0"/>
          <w:sz w:val="24"/>
          <w:szCs w:val="22"/>
          <w:lang w:eastAsia="zh-CN"/>
          <w14:textFill>
            <w14:solidFill>
              <w14:schemeClr w14:val="tx1"/>
            </w14:solidFill>
          </w14:textFill>
        </w:rPr>
        <w:t>、</w:t>
      </w:r>
      <w:r>
        <w:rPr>
          <w:rFonts w:hint="eastAsia" w:ascii="宋体" w:hAnsi="宋体"/>
          <w:color w:val="000000" w:themeColor="text1"/>
          <w:kern w:val="0"/>
          <w:sz w:val="24"/>
          <w:szCs w:val="22"/>
          <w14:textFill>
            <w14:solidFill>
              <w14:schemeClr w14:val="tx1"/>
            </w14:solidFill>
          </w14:textFill>
        </w:rPr>
        <w:t>大数据审计实务</w:t>
      </w:r>
      <w:r>
        <w:rPr>
          <w:rFonts w:hint="eastAsia" w:ascii="宋体" w:hAnsi="宋体"/>
          <w:color w:val="000000" w:themeColor="text1"/>
          <w:kern w:val="0"/>
          <w:sz w:val="24"/>
          <w:szCs w:val="22"/>
          <w:lang w:eastAsia="zh-CN"/>
          <w14:textFill>
            <w14:solidFill>
              <w14:schemeClr w14:val="tx1"/>
            </w14:solidFill>
          </w14:textFill>
        </w:rPr>
        <w:t>、</w:t>
      </w:r>
      <w:r>
        <w:rPr>
          <w:rFonts w:hint="eastAsia" w:ascii="宋体" w:hAnsi="宋体"/>
          <w:color w:val="000000" w:themeColor="text1"/>
          <w:kern w:val="0"/>
          <w:sz w:val="24"/>
          <w:szCs w:val="22"/>
          <w14:textFill>
            <w14:solidFill>
              <w14:schemeClr w14:val="tx1"/>
            </w14:solidFill>
          </w14:textFill>
        </w:rPr>
        <w:t>财务大数据分析</w:t>
      </w:r>
      <w:r>
        <w:rPr>
          <w:rFonts w:hint="eastAsia" w:ascii="宋体" w:hAnsi="宋体"/>
          <w:color w:val="000000" w:themeColor="text1"/>
          <w:kern w:val="0"/>
          <w:sz w:val="24"/>
          <w:szCs w:val="22"/>
          <w:lang w:eastAsia="zh-CN"/>
          <w14:textFill>
            <w14:solidFill>
              <w14:schemeClr w14:val="tx1"/>
            </w14:solidFill>
          </w14:textFill>
        </w:rPr>
        <w:t>、</w:t>
      </w:r>
      <w:r>
        <w:rPr>
          <w:rFonts w:hint="eastAsia" w:ascii="宋体" w:hAnsi="宋体"/>
          <w:color w:val="000000" w:themeColor="text1"/>
          <w:kern w:val="0"/>
          <w:sz w:val="24"/>
          <w:szCs w:val="22"/>
          <w14:textFill>
            <w14:solidFill>
              <w14:schemeClr w14:val="tx1"/>
            </w14:solidFill>
          </w14:textFill>
        </w:rPr>
        <w:t>Python在财务中的应用</w:t>
      </w:r>
      <w:r>
        <w:rPr>
          <w:rFonts w:hint="eastAsia" w:ascii="宋体" w:hAnsi="宋体"/>
          <w:color w:val="000000" w:themeColor="text1"/>
          <w:kern w:val="0"/>
          <w:sz w:val="24"/>
          <w:szCs w:val="22"/>
          <w:lang w:eastAsia="zh-CN"/>
          <w14:textFill>
            <w14:solidFill>
              <w14:schemeClr w14:val="tx1"/>
            </w14:solidFill>
          </w14:textFill>
        </w:rPr>
        <w:t>、</w:t>
      </w:r>
      <w:r>
        <w:rPr>
          <w:rFonts w:hint="eastAsia" w:ascii="宋体" w:hAnsi="宋体"/>
          <w:color w:val="000000" w:themeColor="text1"/>
          <w:kern w:val="0"/>
          <w:sz w:val="24"/>
          <w:szCs w:val="22"/>
          <w14:textFill>
            <w14:solidFill>
              <w14:schemeClr w14:val="tx1"/>
            </w14:solidFill>
          </w14:textFill>
        </w:rPr>
        <w:t>智能财税实务等课程。该模块强调“业财融合、数据赋能”，将真实的企业财务业务场景与大数据分析工具和方法深度融合，培养学生利用现代信息技术解决复杂财务问题的核心职业能力</w:t>
      </w:r>
      <w:r>
        <w:rPr>
          <w:rFonts w:hint="eastAsia" w:ascii="宋体" w:hAnsi="宋体"/>
          <w:color w:val="000000" w:themeColor="text1"/>
          <w:kern w:val="0"/>
          <w:sz w:val="24"/>
          <w:szCs w:val="22"/>
          <w:lang w:eastAsia="zh-CN"/>
          <w14:textFill>
            <w14:solidFill>
              <w14:schemeClr w14:val="tx1"/>
            </w14:solidFill>
          </w14:textFill>
        </w:rPr>
        <w:t>，</w:t>
      </w:r>
      <w:r>
        <w:rPr>
          <w:rFonts w:hint="eastAsia" w:ascii="宋体" w:hAnsi="宋体"/>
          <w:color w:val="000000" w:themeColor="text1"/>
          <w:kern w:val="0"/>
          <w:sz w:val="24"/>
          <w:szCs w:val="22"/>
          <w14:textFill>
            <w14:solidFill>
              <w14:schemeClr w14:val="tx1"/>
            </w14:solidFill>
          </w14:textFill>
        </w:rPr>
        <w:t>深化教学改革，突出实践创新</w:t>
      </w:r>
      <w:r>
        <w:rPr>
          <w:rFonts w:hint="eastAsia" w:ascii="宋体" w:hAnsi="宋体"/>
          <w:color w:val="000000" w:themeColor="text1"/>
          <w:kern w:val="0"/>
          <w:sz w:val="24"/>
          <w:szCs w:val="22"/>
          <w:lang w:eastAsia="zh-CN"/>
          <w14:textFill>
            <w14:solidFill>
              <w14:schemeClr w14:val="tx1"/>
            </w14:solidFill>
          </w14:textFill>
        </w:rPr>
        <w:t>。</w:t>
      </w:r>
      <w:r>
        <w:rPr>
          <w:rFonts w:hint="eastAsia" w:ascii="宋体" w:hAnsi="宋体"/>
          <w:color w:val="000000" w:themeColor="text1"/>
          <w:kern w:val="0"/>
          <w:sz w:val="24"/>
          <w:szCs w:val="22"/>
          <w14:textFill>
            <w14:solidFill>
              <w14:schemeClr w14:val="tx1"/>
            </w14:solidFill>
          </w14:textFill>
        </w:rPr>
        <w:t>在教学过程中，全面推行项目化、任务驱动式教学。以基于工作岗位的典型任务和真实项目为载体组织教学内容，让学生在“做中学、学中做”。充分利用虚拟仿真、财务大数据平台、智能财税软件等数字化教学资源，创设高度仿真的职业环境，强化学生数据感知、工具应用和决策分析的综合实践能力，并将创新思维与工匠精神的培养融入教学全过程。</w:t>
      </w:r>
    </w:p>
    <w:p w14:paraId="6490FEFF">
      <w:pPr>
        <w:adjustRightInd w:val="0"/>
        <w:snapToGrid w:val="0"/>
        <w:spacing w:line="480" w:lineRule="exact"/>
        <w:ind w:firstLine="480" w:firstLineChars="200"/>
        <w:rPr>
          <w:rFonts w:ascii="楷体" w:hAnsi="楷体" w:eastAsia="楷体"/>
          <w:sz w:val="24"/>
        </w:rPr>
      </w:pPr>
      <w:r>
        <w:rPr>
          <w:rFonts w:hint="eastAsia" w:ascii="楷体" w:hAnsi="楷体" w:eastAsia="楷体"/>
          <w:sz w:val="24"/>
        </w:rPr>
        <w:t>（三）公共基础课</w:t>
      </w:r>
      <w:bookmarkEnd w:id="4"/>
      <w:r>
        <w:rPr>
          <w:rFonts w:hint="eastAsia" w:ascii="楷体" w:hAnsi="楷体" w:eastAsia="楷体"/>
          <w:sz w:val="24"/>
        </w:rPr>
        <w:t>程</w:t>
      </w:r>
    </w:p>
    <w:p w14:paraId="54B9AA02">
      <w:pPr>
        <w:adjustRightInd w:val="0"/>
        <w:snapToGrid w:val="0"/>
        <w:spacing w:line="480" w:lineRule="exact"/>
        <w:ind w:firstLine="480" w:firstLineChars="200"/>
        <w:rPr>
          <w:rFonts w:ascii="宋体" w:hAnsi="宋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公共基础课程主要包括入学教育及军事训练、形势与政策、大学生心理健康教育、职业生涯规划、就业指导与创业教育、体育、信息技术、思想道德与法治、毛泽东思想和中国特色社会主义理论体系概论、习近平新时代中国特色社会主义思想概论、大学语文、大学英语、国家安全教育、中华民族共同体概论、中华优秀传统文化、中国共产党简史和劳动教育等课程。</w:t>
      </w:r>
    </w:p>
    <w:p w14:paraId="1958C0F9">
      <w:pPr>
        <w:adjustRightInd w:val="0"/>
        <w:snapToGrid w:val="0"/>
        <w:spacing w:line="480" w:lineRule="exact"/>
        <w:ind w:firstLine="480" w:firstLineChars="200"/>
        <w:rPr>
          <w:rFonts w:ascii="宋体" w:hAnsi="宋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公共基础课程描述如下：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09"/>
        <w:gridCol w:w="2268"/>
        <w:gridCol w:w="2268"/>
        <w:gridCol w:w="2544"/>
      </w:tblGrid>
      <w:tr w14:paraId="79E9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vAlign w:val="center"/>
          </w:tcPr>
          <w:p w14:paraId="17C500AA">
            <w:pPr>
              <w:adjustRightInd w:val="0"/>
              <w:snapToGrid w:val="0"/>
              <w:jc w:val="center"/>
              <w:rPr>
                <w:rFonts w:ascii="宋体" w:hAnsi="宋体"/>
                <w:b/>
                <w:bCs/>
                <w:kern w:val="0"/>
                <w:sz w:val="21"/>
                <w:szCs w:val="21"/>
              </w:rPr>
            </w:pPr>
            <w:r>
              <w:rPr>
                <w:rFonts w:hint="eastAsia" w:ascii="宋体" w:hAnsi="宋体"/>
                <w:b/>
                <w:bCs/>
                <w:kern w:val="0"/>
                <w:sz w:val="21"/>
                <w:szCs w:val="21"/>
              </w:rPr>
              <w:t>课程名称</w:t>
            </w:r>
          </w:p>
        </w:tc>
        <w:tc>
          <w:tcPr>
            <w:tcW w:w="709" w:type="dxa"/>
            <w:vAlign w:val="center"/>
          </w:tcPr>
          <w:p w14:paraId="7BB72789">
            <w:pPr>
              <w:adjustRightInd w:val="0"/>
              <w:snapToGrid w:val="0"/>
              <w:jc w:val="center"/>
              <w:rPr>
                <w:rFonts w:ascii="宋体" w:hAnsi="宋体"/>
                <w:b/>
                <w:bCs/>
                <w:kern w:val="0"/>
                <w:sz w:val="21"/>
                <w:szCs w:val="21"/>
              </w:rPr>
            </w:pPr>
            <w:r>
              <w:rPr>
                <w:rFonts w:hint="eastAsia" w:ascii="宋体" w:hAnsi="宋体"/>
                <w:b/>
                <w:bCs/>
                <w:kern w:val="0"/>
                <w:sz w:val="21"/>
                <w:szCs w:val="21"/>
              </w:rPr>
              <w:t>教学时数</w:t>
            </w:r>
          </w:p>
        </w:tc>
        <w:tc>
          <w:tcPr>
            <w:tcW w:w="2268" w:type="dxa"/>
            <w:vAlign w:val="center"/>
          </w:tcPr>
          <w:p w14:paraId="3C74B24C">
            <w:pPr>
              <w:adjustRightInd w:val="0"/>
              <w:snapToGrid w:val="0"/>
              <w:jc w:val="center"/>
              <w:rPr>
                <w:rFonts w:ascii="宋体" w:hAnsi="宋体"/>
                <w:b/>
                <w:bCs/>
                <w:kern w:val="0"/>
                <w:sz w:val="21"/>
                <w:szCs w:val="21"/>
              </w:rPr>
            </w:pPr>
            <w:r>
              <w:rPr>
                <w:rFonts w:hint="eastAsia" w:ascii="宋体" w:hAnsi="宋体"/>
                <w:b/>
                <w:bCs/>
                <w:kern w:val="0"/>
                <w:sz w:val="21"/>
                <w:szCs w:val="21"/>
              </w:rPr>
              <w:t>课程目标</w:t>
            </w:r>
          </w:p>
        </w:tc>
        <w:tc>
          <w:tcPr>
            <w:tcW w:w="2268" w:type="dxa"/>
            <w:vAlign w:val="center"/>
          </w:tcPr>
          <w:p w14:paraId="63E8ED71">
            <w:pPr>
              <w:adjustRightInd w:val="0"/>
              <w:snapToGrid w:val="0"/>
              <w:jc w:val="center"/>
              <w:rPr>
                <w:rFonts w:ascii="宋体" w:hAnsi="宋体"/>
                <w:b/>
                <w:bCs/>
                <w:kern w:val="0"/>
                <w:sz w:val="21"/>
                <w:szCs w:val="21"/>
              </w:rPr>
            </w:pPr>
            <w:r>
              <w:rPr>
                <w:rFonts w:hint="eastAsia" w:ascii="宋体" w:hAnsi="宋体"/>
                <w:b/>
                <w:bCs/>
                <w:kern w:val="0"/>
                <w:sz w:val="21"/>
                <w:szCs w:val="21"/>
              </w:rPr>
              <w:t>教学内容</w:t>
            </w:r>
          </w:p>
        </w:tc>
        <w:tc>
          <w:tcPr>
            <w:tcW w:w="2544" w:type="dxa"/>
            <w:vAlign w:val="center"/>
          </w:tcPr>
          <w:p w14:paraId="274D7A34">
            <w:pPr>
              <w:adjustRightInd w:val="0"/>
              <w:snapToGrid w:val="0"/>
              <w:jc w:val="center"/>
              <w:rPr>
                <w:rFonts w:ascii="宋体" w:hAnsi="宋体"/>
                <w:b/>
                <w:bCs/>
                <w:kern w:val="0"/>
                <w:sz w:val="21"/>
                <w:szCs w:val="21"/>
              </w:rPr>
            </w:pPr>
            <w:r>
              <w:rPr>
                <w:rFonts w:hint="eastAsia" w:ascii="宋体" w:hAnsi="宋体"/>
                <w:b/>
                <w:bCs/>
                <w:kern w:val="0"/>
                <w:sz w:val="21"/>
                <w:szCs w:val="21"/>
              </w:rPr>
              <w:t>教学要求</w:t>
            </w:r>
          </w:p>
        </w:tc>
      </w:tr>
      <w:tr w14:paraId="5C9B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317B34DB">
            <w:pPr>
              <w:adjustRightInd w:val="0"/>
              <w:snapToGrid w:val="0"/>
              <w:jc w:val="center"/>
              <w:rPr>
                <w:kern w:val="0"/>
                <w:sz w:val="20"/>
              </w:rPr>
            </w:pPr>
            <w:r>
              <w:rPr>
                <w:rFonts w:hint="eastAsia"/>
                <w:kern w:val="0"/>
                <w:sz w:val="20"/>
              </w:rPr>
              <w:t>入学教育及军事训练</w:t>
            </w:r>
          </w:p>
        </w:tc>
        <w:tc>
          <w:tcPr>
            <w:tcW w:w="709" w:type="dxa"/>
            <w:vAlign w:val="center"/>
          </w:tcPr>
          <w:p w14:paraId="5EA77F10">
            <w:pPr>
              <w:adjustRightInd w:val="0"/>
              <w:snapToGrid w:val="0"/>
              <w:jc w:val="center"/>
              <w:rPr>
                <w:rFonts w:ascii="宋体" w:hAnsi="宋体"/>
                <w:kern w:val="0"/>
                <w:sz w:val="20"/>
                <w:szCs w:val="21"/>
              </w:rPr>
            </w:pPr>
            <w:r>
              <w:rPr>
                <w:rFonts w:ascii="宋体" w:hAnsi="宋体"/>
                <w:kern w:val="0"/>
                <w:sz w:val="20"/>
                <w:szCs w:val="21"/>
              </w:rPr>
              <w:t>60</w:t>
            </w:r>
          </w:p>
        </w:tc>
        <w:tc>
          <w:tcPr>
            <w:tcW w:w="2268" w:type="dxa"/>
            <w:vAlign w:val="center"/>
          </w:tcPr>
          <w:p w14:paraId="5AC269EB">
            <w:pPr>
              <w:adjustRightInd w:val="0"/>
              <w:snapToGrid w:val="0"/>
              <w:rPr>
                <w:kern w:val="0"/>
                <w:sz w:val="20"/>
              </w:rPr>
            </w:pPr>
            <w:r>
              <w:rPr>
                <w:rFonts w:hint="eastAsia"/>
                <w:kern w:val="0"/>
                <w:sz w:val="20"/>
              </w:rPr>
              <w:t>使学生学习军事知识，增强国防观念，加强组织性和纪律性。</w:t>
            </w:r>
          </w:p>
        </w:tc>
        <w:tc>
          <w:tcPr>
            <w:tcW w:w="2268" w:type="dxa"/>
            <w:vAlign w:val="center"/>
          </w:tcPr>
          <w:p w14:paraId="6F6645CB">
            <w:pPr>
              <w:adjustRightInd w:val="0"/>
              <w:snapToGrid w:val="0"/>
              <w:rPr>
                <w:kern w:val="0"/>
                <w:sz w:val="20"/>
              </w:rPr>
            </w:pPr>
            <w:r>
              <w:rPr>
                <w:rFonts w:hint="eastAsia"/>
                <w:kern w:val="0"/>
                <w:sz w:val="20"/>
              </w:rPr>
              <w:t>主要学习解放军内务、队列条例、学校规章制度等内容。</w:t>
            </w:r>
          </w:p>
        </w:tc>
        <w:tc>
          <w:tcPr>
            <w:tcW w:w="2544" w:type="dxa"/>
            <w:vAlign w:val="center"/>
          </w:tcPr>
          <w:p w14:paraId="21115272">
            <w:pPr>
              <w:adjustRightInd w:val="0"/>
              <w:snapToGrid w:val="0"/>
              <w:rPr>
                <w:kern w:val="0"/>
                <w:sz w:val="20"/>
              </w:rPr>
            </w:pPr>
            <w:r>
              <w:rPr>
                <w:b/>
                <w:bCs/>
                <w:kern w:val="0"/>
                <w:sz w:val="20"/>
              </w:rPr>
              <w:t>教师要求：</w:t>
            </w:r>
            <w:r>
              <w:rPr>
                <w:kern w:val="0"/>
                <w:sz w:val="20"/>
              </w:rPr>
              <w:t>任课教师应有一定的教学经验，注意引导学生在自主学习和社会实践等方面形成自律</w:t>
            </w:r>
            <w:r>
              <w:rPr>
                <w:rFonts w:hint="eastAsia"/>
                <w:kern w:val="0"/>
                <w:sz w:val="20"/>
              </w:rPr>
              <w:t>。</w:t>
            </w:r>
          </w:p>
          <w:p w14:paraId="41906C64">
            <w:pPr>
              <w:adjustRightInd w:val="0"/>
              <w:snapToGrid w:val="0"/>
              <w:rPr>
                <w:b/>
                <w:bCs/>
                <w:kern w:val="0"/>
                <w:sz w:val="20"/>
              </w:rPr>
            </w:pPr>
            <w:r>
              <w:rPr>
                <w:rFonts w:hint="eastAsia"/>
                <w:b/>
                <w:bCs/>
                <w:kern w:val="0"/>
                <w:sz w:val="20"/>
              </w:rPr>
              <w:t>学生要求：</w:t>
            </w:r>
            <w:r>
              <w:rPr>
                <w:kern w:val="0"/>
                <w:sz w:val="20"/>
              </w:rPr>
              <w:t>能积极配合教师完成每一项任务，积极发言参加各种活动</w:t>
            </w:r>
            <w:r>
              <w:rPr>
                <w:rFonts w:hint="eastAsia"/>
                <w:kern w:val="0"/>
                <w:sz w:val="20"/>
              </w:rPr>
              <w:t>。</w:t>
            </w:r>
          </w:p>
        </w:tc>
      </w:tr>
      <w:tr w14:paraId="0626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1E60446C">
            <w:pPr>
              <w:adjustRightInd w:val="0"/>
              <w:snapToGrid w:val="0"/>
              <w:jc w:val="center"/>
              <w:rPr>
                <w:rFonts w:ascii="宋体" w:hAnsi="宋体"/>
                <w:kern w:val="0"/>
                <w:sz w:val="21"/>
                <w:szCs w:val="21"/>
              </w:rPr>
            </w:pPr>
            <w:r>
              <w:rPr>
                <w:rFonts w:hint="eastAsia"/>
                <w:kern w:val="0"/>
                <w:sz w:val="20"/>
              </w:rPr>
              <w:t>思想道德与法治</w:t>
            </w:r>
          </w:p>
        </w:tc>
        <w:tc>
          <w:tcPr>
            <w:tcW w:w="709" w:type="dxa"/>
            <w:vAlign w:val="center"/>
          </w:tcPr>
          <w:p w14:paraId="6E2DA924">
            <w:pPr>
              <w:adjustRightInd w:val="0"/>
              <w:snapToGrid w:val="0"/>
              <w:jc w:val="center"/>
              <w:rPr>
                <w:rFonts w:ascii="宋体" w:hAnsi="宋体"/>
                <w:kern w:val="0"/>
                <w:sz w:val="21"/>
                <w:szCs w:val="21"/>
              </w:rPr>
            </w:pPr>
            <w:r>
              <w:rPr>
                <w:rFonts w:ascii="宋体" w:hAnsi="宋体"/>
                <w:kern w:val="0"/>
                <w:sz w:val="21"/>
                <w:szCs w:val="21"/>
              </w:rPr>
              <w:t>54</w:t>
            </w:r>
          </w:p>
        </w:tc>
        <w:tc>
          <w:tcPr>
            <w:tcW w:w="2268" w:type="dxa"/>
            <w:vAlign w:val="center"/>
          </w:tcPr>
          <w:p w14:paraId="68BEB5F9">
            <w:pPr>
              <w:adjustRightInd w:val="0"/>
              <w:snapToGrid w:val="0"/>
              <w:rPr>
                <w:rFonts w:hint="eastAsia" w:ascii="宋体" w:hAnsi="宋体" w:eastAsia="宋体"/>
                <w:kern w:val="0"/>
                <w:sz w:val="21"/>
                <w:szCs w:val="21"/>
                <w:lang w:eastAsia="zh-CN"/>
              </w:rPr>
            </w:pPr>
            <w:r>
              <w:rPr>
                <w:kern w:val="0"/>
                <w:sz w:val="20"/>
              </w:rPr>
              <w:t>使学生增强树立科学的世界观、人生观、价值观、道德观和法治观的能力，全面提高思想道德素质和法治素养</w:t>
            </w:r>
            <w:r>
              <w:rPr>
                <w:rFonts w:hint="eastAsia"/>
                <w:kern w:val="0"/>
                <w:sz w:val="20"/>
                <w:lang w:eastAsia="zh-CN"/>
              </w:rPr>
              <w:t>。</w:t>
            </w:r>
          </w:p>
        </w:tc>
        <w:tc>
          <w:tcPr>
            <w:tcW w:w="2268" w:type="dxa"/>
            <w:vAlign w:val="center"/>
          </w:tcPr>
          <w:p w14:paraId="775800DF">
            <w:pPr>
              <w:adjustRightInd w:val="0"/>
              <w:snapToGrid w:val="0"/>
              <w:rPr>
                <w:rFonts w:ascii="宋体" w:hAnsi="宋体"/>
                <w:kern w:val="0"/>
                <w:sz w:val="21"/>
                <w:szCs w:val="21"/>
              </w:rPr>
            </w:pPr>
            <w:r>
              <w:rPr>
                <w:rFonts w:hint="eastAsia"/>
                <w:kern w:val="0"/>
                <w:sz w:val="20"/>
              </w:rPr>
              <w:t>主</w:t>
            </w:r>
            <w:r>
              <w:rPr>
                <w:kern w:val="0"/>
                <w:sz w:val="20"/>
              </w:rPr>
              <w:t>要讲授时代新人的历史使命、树立正确的人生观、坚定理想信念、弘扬中国精神、</w:t>
            </w:r>
            <w:r>
              <w:rPr>
                <w:rFonts w:hint="eastAsia"/>
                <w:kern w:val="0"/>
                <w:sz w:val="20"/>
              </w:rPr>
              <w:t>践</w:t>
            </w:r>
            <w:r>
              <w:rPr>
                <w:kern w:val="0"/>
                <w:sz w:val="20"/>
              </w:rPr>
              <w:t>行社会主义核心价值观、遵守道德规范、增强法治素养的基本理论、基本方法</w:t>
            </w:r>
            <w:r>
              <w:rPr>
                <w:rFonts w:hint="eastAsia"/>
                <w:kern w:val="0"/>
                <w:sz w:val="20"/>
              </w:rPr>
              <w:t>等内容</w:t>
            </w:r>
            <w:r>
              <w:rPr>
                <w:kern w:val="0"/>
                <w:sz w:val="20"/>
              </w:rPr>
              <w:t>。</w:t>
            </w:r>
          </w:p>
        </w:tc>
        <w:tc>
          <w:tcPr>
            <w:tcW w:w="2544" w:type="dxa"/>
            <w:vAlign w:val="center"/>
          </w:tcPr>
          <w:p w14:paraId="4FD70717">
            <w:pPr>
              <w:adjustRightInd w:val="0"/>
              <w:snapToGrid w:val="0"/>
              <w:rPr>
                <w:kern w:val="0"/>
                <w:sz w:val="20"/>
              </w:rPr>
            </w:pPr>
            <w:r>
              <w:rPr>
                <w:rFonts w:hint="eastAsia"/>
                <w:b/>
                <w:bCs/>
                <w:kern w:val="0"/>
                <w:sz w:val="20"/>
              </w:rPr>
              <w:t>教师要求：</w:t>
            </w:r>
            <w:r>
              <w:rPr>
                <w:kern w:val="0"/>
                <w:sz w:val="20"/>
              </w:rPr>
              <w:t>具备丰富理论知识，钻研教学方法，创新实践教学形式</w:t>
            </w:r>
            <w:r>
              <w:rPr>
                <w:rFonts w:hint="eastAsia"/>
                <w:kern w:val="0"/>
                <w:sz w:val="20"/>
              </w:rPr>
              <w:t>。</w:t>
            </w:r>
          </w:p>
          <w:p w14:paraId="136EFD92">
            <w:pPr>
              <w:adjustRightInd w:val="0"/>
              <w:snapToGrid w:val="0"/>
              <w:rPr>
                <w:rFonts w:hint="eastAsia" w:eastAsia="宋体"/>
                <w:kern w:val="0"/>
                <w:sz w:val="20"/>
                <w:lang w:eastAsia="zh-CN"/>
              </w:rPr>
            </w:pPr>
            <w:r>
              <w:rPr>
                <w:rFonts w:hint="eastAsia"/>
                <w:b/>
                <w:bCs/>
                <w:kern w:val="0"/>
                <w:sz w:val="20"/>
              </w:rPr>
              <w:t>学生要求：</w:t>
            </w:r>
            <w:r>
              <w:rPr>
                <w:kern w:val="0"/>
                <w:sz w:val="20"/>
              </w:rPr>
              <w:t>坚持理论联系实际，勇于实践。树立历史观点、世界视野、国情意识和问题意识，增强分析问题、解决问题的能力</w:t>
            </w:r>
            <w:r>
              <w:rPr>
                <w:rFonts w:hint="eastAsia"/>
                <w:kern w:val="0"/>
                <w:sz w:val="20"/>
                <w:lang w:eastAsia="zh-CN"/>
              </w:rPr>
              <w:t>。</w:t>
            </w:r>
          </w:p>
        </w:tc>
      </w:tr>
      <w:tr w14:paraId="2B78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0DAD1CC6">
            <w:pPr>
              <w:adjustRightInd w:val="0"/>
              <w:snapToGrid w:val="0"/>
              <w:jc w:val="center"/>
              <w:rPr>
                <w:rFonts w:ascii="宋体" w:hAnsi="宋体"/>
                <w:kern w:val="0"/>
                <w:sz w:val="20"/>
                <w:szCs w:val="21"/>
              </w:rPr>
            </w:pPr>
            <w:r>
              <w:rPr>
                <w:rFonts w:hint="eastAsia" w:ascii="宋体" w:hAnsi="宋体"/>
                <w:kern w:val="0"/>
                <w:sz w:val="20"/>
                <w:szCs w:val="21"/>
              </w:rPr>
              <w:t>毛泽东思想和中国特色社会主义理论体系概论</w:t>
            </w:r>
          </w:p>
        </w:tc>
        <w:tc>
          <w:tcPr>
            <w:tcW w:w="709" w:type="dxa"/>
            <w:vAlign w:val="center"/>
          </w:tcPr>
          <w:p w14:paraId="45359BAA">
            <w:pPr>
              <w:adjustRightInd w:val="0"/>
              <w:snapToGrid w:val="0"/>
              <w:jc w:val="center"/>
              <w:rPr>
                <w:rFonts w:ascii="宋体" w:hAnsi="宋体"/>
                <w:kern w:val="0"/>
                <w:sz w:val="20"/>
                <w:szCs w:val="21"/>
              </w:rPr>
            </w:pPr>
            <w:r>
              <w:rPr>
                <w:rFonts w:ascii="宋体" w:hAnsi="宋体"/>
                <w:kern w:val="0"/>
                <w:sz w:val="20"/>
                <w:szCs w:val="21"/>
              </w:rPr>
              <w:t>36</w:t>
            </w:r>
          </w:p>
        </w:tc>
        <w:tc>
          <w:tcPr>
            <w:tcW w:w="2268" w:type="dxa"/>
            <w:vAlign w:val="center"/>
          </w:tcPr>
          <w:p w14:paraId="34A1AA64">
            <w:pPr>
              <w:adjustRightInd w:val="0"/>
              <w:snapToGrid w:val="0"/>
              <w:rPr>
                <w:kern w:val="0"/>
                <w:sz w:val="20"/>
              </w:rPr>
            </w:pPr>
            <w:r>
              <w:rPr>
                <w:kern w:val="0"/>
                <w:sz w:val="20"/>
              </w:rPr>
              <w:t>提升</w:t>
            </w:r>
            <w:r>
              <w:rPr>
                <w:rFonts w:hint="eastAsia"/>
                <w:kern w:val="0"/>
                <w:sz w:val="20"/>
              </w:rPr>
              <w:t>学生</w:t>
            </w:r>
            <w:r>
              <w:rPr>
                <w:kern w:val="0"/>
                <w:sz w:val="20"/>
              </w:rPr>
              <w:t>思想政治教育亲和力和针对性，完善学生成长发展需求的政治思想知识体系；增强学生中国特色社会主义道路自信、理论自信、制度自信和文化自信；培养学生政治素养，提高对政策形势分析判读的能力，保障文化安全</w:t>
            </w:r>
            <w:r>
              <w:rPr>
                <w:rFonts w:hint="eastAsia"/>
                <w:kern w:val="0"/>
                <w:sz w:val="20"/>
              </w:rPr>
              <w:t>。</w:t>
            </w:r>
          </w:p>
        </w:tc>
        <w:tc>
          <w:tcPr>
            <w:tcW w:w="2268" w:type="dxa"/>
            <w:vAlign w:val="center"/>
          </w:tcPr>
          <w:p w14:paraId="39128BCE">
            <w:pPr>
              <w:adjustRightInd w:val="0"/>
              <w:snapToGrid w:val="0"/>
              <w:rPr>
                <w:kern w:val="0"/>
                <w:sz w:val="20"/>
              </w:rPr>
            </w:pPr>
            <w:r>
              <w:rPr>
                <w:rFonts w:hint="eastAsia"/>
                <w:kern w:val="0"/>
                <w:sz w:val="20"/>
              </w:rPr>
              <w:t>主要讲授马克思主义中国化的历史进程和理论成果、马克思主义中国化理论成果的精髓、新民主主义革命理论、社会主义改造理论、社会主义的本质和根本任务、社会主义初级阶段理论等内容。</w:t>
            </w:r>
          </w:p>
        </w:tc>
        <w:tc>
          <w:tcPr>
            <w:tcW w:w="2544" w:type="dxa"/>
            <w:vAlign w:val="center"/>
          </w:tcPr>
          <w:p w14:paraId="33A19049">
            <w:pPr>
              <w:adjustRightInd w:val="0"/>
              <w:snapToGrid w:val="0"/>
              <w:rPr>
                <w:kern w:val="0"/>
                <w:sz w:val="20"/>
              </w:rPr>
            </w:pPr>
            <w:r>
              <w:rPr>
                <w:rFonts w:hint="eastAsia" w:ascii="宋体" w:hAnsi="宋体"/>
                <w:b/>
                <w:bCs/>
                <w:kern w:val="0"/>
                <w:sz w:val="20"/>
                <w:szCs w:val="21"/>
              </w:rPr>
              <w:t>教师要求：</w:t>
            </w:r>
            <w:r>
              <w:rPr>
                <w:kern w:val="0"/>
                <w:sz w:val="20"/>
              </w:rPr>
              <w:t>应具备高尚的职业道德，丰富的教学经验，能熟练运用网络平台开展线上线下辅助教学</w:t>
            </w:r>
            <w:r>
              <w:rPr>
                <w:rFonts w:hint="eastAsia"/>
                <w:kern w:val="0"/>
                <w:sz w:val="20"/>
              </w:rPr>
              <w:t>。</w:t>
            </w:r>
          </w:p>
          <w:p w14:paraId="178A30A2">
            <w:pPr>
              <w:adjustRightInd w:val="0"/>
              <w:snapToGrid w:val="0"/>
              <w:rPr>
                <w:rFonts w:ascii="宋体" w:hAnsi="宋体"/>
                <w:kern w:val="0"/>
                <w:sz w:val="20"/>
                <w:szCs w:val="21"/>
              </w:rPr>
            </w:pPr>
            <w:r>
              <w:rPr>
                <w:rFonts w:hint="eastAsia"/>
                <w:b/>
                <w:bCs/>
                <w:kern w:val="0"/>
                <w:sz w:val="20"/>
              </w:rPr>
              <w:t>学生要求：</w:t>
            </w:r>
            <w:r>
              <w:rPr>
                <w:kern w:val="0"/>
                <w:sz w:val="20"/>
              </w:rPr>
              <w:t>坚持理论联系实际</w:t>
            </w:r>
            <w:r>
              <w:rPr>
                <w:rFonts w:hint="eastAsia"/>
                <w:kern w:val="0"/>
                <w:sz w:val="20"/>
              </w:rPr>
              <w:t>，</w:t>
            </w:r>
            <w:r>
              <w:rPr>
                <w:kern w:val="0"/>
                <w:sz w:val="20"/>
              </w:rPr>
              <w:t>紧密联系中国特色社会主义现代化建设的实际，树立正确的世界观、人生观和价值观</w:t>
            </w:r>
            <w:r>
              <w:rPr>
                <w:rFonts w:hint="eastAsia"/>
                <w:kern w:val="0"/>
                <w:sz w:val="20"/>
              </w:rPr>
              <w:t>。</w:t>
            </w:r>
          </w:p>
        </w:tc>
      </w:tr>
      <w:tr w14:paraId="1DF5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4A6F13D8">
            <w:pPr>
              <w:adjustRightInd w:val="0"/>
              <w:snapToGrid w:val="0"/>
              <w:jc w:val="center"/>
              <w:rPr>
                <w:rFonts w:ascii="宋体" w:hAnsi="宋体"/>
                <w:kern w:val="0"/>
                <w:sz w:val="20"/>
                <w:szCs w:val="21"/>
              </w:rPr>
            </w:pPr>
            <w:r>
              <w:rPr>
                <w:rFonts w:hint="eastAsia" w:ascii="宋体" w:hAnsi="宋体"/>
                <w:kern w:val="0"/>
                <w:sz w:val="20"/>
                <w:szCs w:val="21"/>
              </w:rPr>
              <w:t>大学英语</w:t>
            </w:r>
          </w:p>
        </w:tc>
        <w:tc>
          <w:tcPr>
            <w:tcW w:w="709" w:type="dxa"/>
            <w:vAlign w:val="center"/>
          </w:tcPr>
          <w:p w14:paraId="22592B39">
            <w:pPr>
              <w:adjustRightInd w:val="0"/>
              <w:snapToGrid w:val="0"/>
              <w:jc w:val="center"/>
              <w:rPr>
                <w:rFonts w:ascii="宋体" w:hAnsi="宋体"/>
                <w:kern w:val="0"/>
                <w:sz w:val="20"/>
                <w:szCs w:val="21"/>
              </w:rPr>
            </w:pPr>
            <w:r>
              <w:rPr>
                <w:rFonts w:ascii="宋体" w:hAnsi="宋体"/>
                <w:kern w:val="0"/>
                <w:sz w:val="20"/>
                <w:szCs w:val="21"/>
              </w:rPr>
              <w:t>136</w:t>
            </w:r>
          </w:p>
        </w:tc>
        <w:tc>
          <w:tcPr>
            <w:tcW w:w="2268" w:type="dxa"/>
            <w:vAlign w:val="center"/>
          </w:tcPr>
          <w:p w14:paraId="51DBF6CF">
            <w:pPr>
              <w:adjustRightInd w:val="0"/>
              <w:snapToGrid w:val="0"/>
              <w:rPr>
                <w:kern w:val="0"/>
                <w:sz w:val="20"/>
              </w:rPr>
            </w:pPr>
            <w:r>
              <w:rPr>
                <w:rFonts w:hint="eastAsia"/>
                <w:kern w:val="0"/>
                <w:sz w:val="20"/>
              </w:rPr>
              <w:t>培养学生较强的阅读与本专业有关的外语技术资料的能力，听说能力和基本的书写外语信函等应用文的能力，为学生进一步提高外语使用能力打好基础。</w:t>
            </w:r>
          </w:p>
        </w:tc>
        <w:tc>
          <w:tcPr>
            <w:tcW w:w="2268" w:type="dxa"/>
            <w:vAlign w:val="center"/>
          </w:tcPr>
          <w:p w14:paraId="7E983983">
            <w:pPr>
              <w:adjustRightInd w:val="0"/>
              <w:snapToGrid w:val="0"/>
              <w:rPr>
                <w:kern w:val="0"/>
                <w:sz w:val="20"/>
              </w:rPr>
            </w:pPr>
            <w:r>
              <w:rPr>
                <w:kern w:val="0"/>
                <w:sz w:val="20"/>
              </w:rPr>
              <w:t>由主题类别、语篇精选、语言知识、文化知识、职业英语技能和语言学习策略等内容组成，同时与职场需求对接，创设与行业企业相近的教学情境任务，设计语言教学活动</w:t>
            </w:r>
            <w:r>
              <w:rPr>
                <w:rFonts w:hint="eastAsia"/>
                <w:kern w:val="0"/>
                <w:sz w:val="20"/>
              </w:rPr>
              <w:t>。</w:t>
            </w:r>
          </w:p>
        </w:tc>
        <w:tc>
          <w:tcPr>
            <w:tcW w:w="2544" w:type="dxa"/>
            <w:vAlign w:val="center"/>
          </w:tcPr>
          <w:p w14:paraId="0F6160FB">
            <w:pPr>
              <w:adjustRightInd w:val="0"/>
              <w:snapToGrid w:val="0"/>
              <w:rPr>
                <w:kern w:val="0"/>
                <w:sz w:val="20"/>
              </w:rPr>
            </w:pPr>
            <w:r>
              <w:rPr>
                <w:rFonts w:hint="eastAsia" w:ascii="宋体" w:hAnsi="宋体"/>
                <w:b/>
                <w:bCs/>
                <w:kern w:val="0"/>
                <w:sz w:val="20"/>
                <w:szCs w:val="21"/>
              </w:rPr>
              <w:t>教师要求：</w:t>
            </w:r>
            <w:r>
              <w:rPr>
                <w:kern w:val="0"/>
                <w:sz w:val="20"/>
              </w:rPr>
              <w:t>应具备高尚的教师职业道德，能指导学生充分利用各种信息资源，通过自主学习、合作学习和探究式学习全面提升其信息素养。</w:t>
            </w:r>
          </w:p>
          <w:p w14:paraId="30E36062">
            <w:pPr>
              <w:adjustRightInd w:val="0"/>
              <w:snapToGrid w:val="0"/>
              <w:rPr>
                <w:rFonts w:hint="eastAsia" w:eastAsia="宋体"/>
                <w:kern w:val="0"/>
                <w:sz w:val="20"/>
                <w:lang w:eastAsia="zh-CN"/>
              </w:rPr>
            </w:pPr>
            <w:r>
              <w:rPr>
                <w:rFonts w:hint="eastAsia"/>
                <w:b/>
                <w:bCs/>
                <w:kern w:val="0"/>
                <w:sz w:val="20"/>
              </w:rPr>
              <w:t>学生要求：</w:t>
            </w:r>
            <w:r>
              <w:rPr>
                <w:kern w:val="0"/>
                <w:sz w:val="20"/>
              </w:rPr>
              <w:t>应具有自信和积极心态，能不断提升自己；具有一定的自主学习能力，能积极制定学习计划，并独立完成</w:t>
            </w:r>
            <w:r>
              <w:rPr>
                <w:rFonts w:hint="eastAsia"/>
                <w:kern w:val="0"/>
                <w:sz w:val="20"/>
                <w:lang w:eastAsia="zh-CN"/>
              </w:rPr>
              <w:t>。</w:t>
            </w:r>
          </w:p>
          <w:p w14:paraId="4E48C411">
            <w:pPr>
              <w:adjustRightInd w:val="0"/>
              <w:snapToGrid w:val="0"/>
              <w:rPr>
                <w:kern w:val="0"/>
                <w:sz w:val="20"/>
              </w:rPr>
            </w:pPr>
          </w:p>
        </w:tc>
      </w:tr>
      <w:tr w14:paraId="198F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56797DC8">
            <w:pPr>
              <w:adjustRightInd w:val="0"/>
              <w:snapToGrid w:val="0"/>
              <w:jc w:val="center"/>
              <w:rPr>
                <w:rFonts w:ascii="宋体" w:hAnsi="宋体"/>
                <w:kern w:val="0"/>
                <w:sz w:val="20"/>
                <w:szCs w:val="21"/>
              </w:rPr>
            </w:pPr>
            <w:r>
              <w:rPr>
                <w:rFonts w:hint="eastAsia" w:ascii="宋体" w:hAnsi="宋体"/>
                <w:kern w:val="0"/>
                <w:sz w:val="20"/>
                <w:szCs w:val="21"/>
              </w:rPr>
              <w:t>大学语文</w:t>
            </w:r>
          </w:p>
        </w:tc>
        <w:tc>
          <w:tcPr>
            <w:tcW w:w="709" w:type="dxa"/>
            <w:vAlign w:val="center"/>
          </w:tcPr>
          <w:p w14:paraId="0DDB53B3">
            <w:pPr>
              <w:adjustRightInd w:val="0"/>
              <w:snapToGrid w:val="0"/>
              <w:jc w:val="center"/>
              <w:rPr>
                <w:rFonts w:ascii="宋体" w:hAnsi="宋体"/>
                <w:kern w:val="0"/>
                <w:sz w:val="20"/>
                <w:szCs w:val="21"/>
              </w:rPr>
            </w:pPr>
            <w:r>
              <w:rPr>
                <w:rFonts w:ascii="宋体" w:hAnsi="宋体"/>
                <w:kern w:val="0"/>
                <w:sz w:val="20"/>
                <w:szCs w:val="21"/>
              </w:rPr>
              <w:t>68</w:t>
            </w:r>
          </w:p>
        </w:tc>
        <w:tc>
          <w:tcPr>
            <w:tcW w:w="2268" w:type="dxa"/>
            <w:vAlign w:val="center"/>
          </w:tcPr>
          <w:p w14:paraId="3226BF0A">
            <w:pPr>
              <w:adjustRightInd w:val="0"/>
              <w:snapToGrid w:val="0"/>
              <w:rPr>
                <w:kern w:val="0"/>
                <w:sz w:val="20"/>
              </w:rPr>
            </w:pPr>
            <w:r>
              <w:rPr>
                <w:rFonts w:hint="eastAsia"/>
                <w:kern w:val="0"/>
                <w:sz w:val="20"/>
              </w:rPr>
              <w:t>高学生运用规范的现代汉语进行口头和书面交流的能力，使学生比较准确地阅读和理解文学作品及文字材料，并具备一定的文学鉴赏水平、较好的综合分析能力和较高的写作能力。</w:t>
            </w:r>
          </w:p>
        </w:tc>
        <w:tc>
          <w:tcPr>
            <w:tcW w:w="2268" w:type="dxa"/>
            <w:vAlign w:val="center"/>
          </w:tcPr>
          <w:p w14:paraId="137BA147">
            <w:pPr>
              <w:adjustRightInd w:val="0"/>
              <w:snapToGrid w:val="0"/>
              <w:rPr>
                <w:kern w:val="0"/>
                <w:sz w:val="20"/>
              </w:rPr>
            </w:pPr>
            <w:r>
              <w:rPr>
                <w:rFonts w:hint="eastAsia"/>
                <w:kern w:val="0"/>
                <w:sz w:val="20"/>
              </w:rPr>
              <w:t>主要讲授现代汉语和古代汉语的知识以及</w:t>
            </w:r>
            <w:r>
              <w:rPr>
                <w:kern w:val="0"/>
                <w:sz w:val="20"/>
              </w:rPr>
              <w:t>应用文写作的基本知识和基本技巧</w:t>
            </w:r>
            <w:r>
              <w:rPr>
                <w:rFonts w:hint="eastAsia"/>
                <w:kern w:val="0"/>
                <w:sz w:val="20"/>
              </w:rPr>
              <w:t>。</w:t>
            </w:r>
          </w:p>
        </w:tc>
        <w:tc>
          <w:tcPr>
            <w:tcW w:w="2544" w:type="dxa"/>
            <w:vAlign w:val="center"/>
          </w:tcPr>
          <w:p w14:paraId="502869E7">
            <w:pPr>
              <w:adjustRightInd w:val="0"/>
              <w:snapToGrid w:val="0"/>
              <w:rPr>
                <w:kern w:val="0"/>
                <w:sz w:val="20"/>
              </w:rPr>
            </w:pPr>
            <w:r>
              <w:rPr>
                <w:rFonts w:hint="eastAsia" w:ascii="宋体" w:hAnsi="宋体"/>
                <w:b/>
                <w:bCs/>
                <w:kern w:val="0"/>
                <w:sz w:val="20"/>
                <w:szCs w:val="21"/>
              </w:rPr>
              <w:t>教师要求：</w:t>
            </w:r>
            <w:r>
              <w:rPr>
                <w:kern w:val="0"/>
                <w:sz w:val="20"/>
              </w:rPr>
              <w:t>有理论教学实践经验，熟练操作多媒体教学课件，掌握应用文写作相关知识，能熟练运用应用文写作技能</w:t>
            </w:r>
            <w:r>
              <w:rPr>
                <w:rFonts w:hint="eastAsia"/>
                <w:kern w:val="0"/>
                <w:sz w:val="20"/>
              </w:rPr>
              <w:t>。</w:t>
            </w:r>
          </w:p>
          <w:p w14:paraId="08E6CE94">
            <w:pPr>
              <w:adjustRightInd w:val="0"/>
              <w:snapToGrid w:val="0"/>
              <w:rPr>
                <w:rFonts w:ascii="宋体" w:hAnsi="宋体"/>
                <w:b/>
                <w:bCs/>
                <w:kern w:val="0"/>
                <w:sz w:val="20"/>
                <w:szCs w:val="21"/>
              </w:rPr>
            </w:pPr>
            <w:r>
              <w:rPr>
                <w:rFonts w:hint="eastAsia"/>
                <w:b/>
                <w:bCs/>
                <w:kern w:val="0"/>
                <w:sz w:val="20"/>
              </w:rPr>
              <w:t>学生要求：</w:t>
            </w:r>
            <w:r>
              <w:rPr>
                <w:kern w:val="0"/>
                <w:sz w:val="20"/>
              </w:rPr>
              <w:t>具备信息和整理信息的能力，准确地选择不同文体格式的能力；具备发现问题和提出问题的能力</w:t>
            </w:r>
            <w:r>
              <w:rPr>
                <w:rFonts w:hint="eastAsia"/>
                <w:kern w:val="0"/>
                <w:sz w:val="20"/>
              </w:rPr>
              <w:t>。</w:t>
            </w:r>
          </w:p>
        </w:tc>
      </w:tr>
      <w:tr w14:paraId="4355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1FEB590E">
            <w:pPr>
              <w:adjustRightInd w:val="0"/>
              <w:snapToGrid w:val="0"/>
              <w:jc w:val="center"/>
              <w:rPr>
                <w:rFonts w:ascii="宋体" w:hAnsi="宋体"/>
                <w:kern w:val="0"/>
                <w:sz w:val="20"/>
                <w:szCs w:val="21"/>
              </w:rPr>
            </w:pPr>
            <w:r>
              <w:rPr>
                <w:rFonts w:hint="eastAsia" w:ascii="宋体" w:hAnsi="宋体"/>
                <w:kern w:val="0"/>
                <w:sz w:val="20"/>
                <w:szCs w:val="21"/>
              </w:rPr>
              <w:t>信息技术</w:t>
            </w:r>
          </w:p>
        </w:tc>
        <w:tc>
          <w:tcPr>
            <w:tcW w:w="709" w:type="dxa"/>
            <w:vAlign w:val="center"/>
          </w:tcPr>
          <w:p w14:paraId="22C43E1D">
            <w:pPr>
              <w:adjustRightInd w:val="0"/>
              <w:snapToGrid w:val="0"/>
              <w:jc w:val="center"/>
              <w:rPr>
                <w:rFonts w:ascii="宋体" w:hAnsi="宋体"/>
                <w:kern w:val="0"/>
                <w:sz w:val="20"/>
                <w:szCs w:val="21"/>
              </w:rPr>
            </w:pPr>
            <w:r>
              <w:rPr>
                <w:rFonts w:ascii="宋体" w:hAnsi="宋体"/>
                <w:kern w:val="0"/>
                <w:sz w:val="20"/>
                <w:szCs w:val="21"/>
              </w:rPr>
              <w:t>72</w:t>
            </w:r>
          </w:p>
        </w:tc>
        <w:tc>
          <w:tcPr>
            <w:tcW w:w="2268" w:type="dxa"/>
            <w:vAlign w:val="center"/>
          </w:tcPr>
          <w:p w14:paraId="5D8F91B6">
            <w:pPr>
              <w:adjustRightInd w:val="0"/>
              <w:snapToGrid w:val="0"/>
              <w:rPr>
                <w:kern w:val="0"/>
                <w:sz w:val="20"/>
              </w:rPr>
            </w:pPr>
            <w:r>
              <w:rPr>
                <w:kern w:val="0"/>
                <w:sz w:val="20"/>
              </w:rPr>
              <w:t>以工程实际中的产品技术文件为载体，使学生掌握网络的基本知识、Word</w:t>
            </w:r>
            <w:r>
              <w:rPr>
                <w:rFonts w:hint="eastAsia"/>
                <w:kern w:val="0"/>
                <w:sz w:val="20"/>
              </w:rPr>
              <w:t>、</w:t>
            </w:r>
            <w:r>
              <w:rPr>
                <w:kern w:val="0"/>
                <w:sz w:val="20"/>
              </w:rPr>
              <w:t>Excel、PowerPoint等软件的使用，为学生毕业后从事产品技术文件制作的工作奠定基础。</w:t>
            </w:r>
          </w:p>
        </w:tc>
        <w:tc>
          <w:tcPr>
            <w:tcW w:w="2268" w:type="dxa"/>
            <w:vAlign w:val="center"/>
          </w:tcPr>
          <w:p w14:paraId="67D5CF47">
            <w:pPr>
              <w:adjustRightInd w:val="0"/>
              <w:snapToGrid w:val="0"/>
              <w:rPr>
                <w:kern w:val="0"/>
                <w:sz w:val="20"/>
              </w:rPr>
            </w:pPr>
            <w:r>
              <w:rPr>
                <w:kern w:val="0"/>
                <w:sz w:val="20"/>
              </w:rPr>
              <w:t>认识网络；产品信息的网络搜索；电子邮件的收发；产品说明书的制作；产品宣传页的制作；技术革新论文的制作；产品报价单的制作；产品设计方案评价表的制作；产品宣传演示文稿的制作</w:t>
            </w:r>
            <w:r>
              <w:rPr>
                <w:rFonts w:hint="eastAsia"/>
                <w:kern w:val="0"/>
                <w:sz w:val="20"/>
              </w:rPr>
              <w:t>等内容。</w:t>
            </w:r>
          </w:p>
        </w:tc>
        <w:tc>
          <w:tcPr>
            <w:tcW w:w="2544" w:type="dxa"/>
            <w:vAlign w:val="center"/>
          </w:tcPr>
          <w:p w14:paraId="2A6417DC">
            <w:pPr>
              <w:adjustRightInd w:val="0"/>
              <w:snapToGrid w:val="0"/>
              <w:rPr>
                <w:kern w:val="0"/>
                <w:sz w:val="20"/>
              </w:rPr>
            </w:pPr>
            <w:r>
              <w:rPr>
                <w:rFonts w:hint="eastAsia" w:ascii="宋体" w:hAnsi="宋体"/>
                <w:b/>
                <w:bCs/>
                <w:kern w:val="0"/>
                <w:sz w:val="20"/>
                <w:szCs w:val="21"/>
              </w:rPr>
              <w:t>教师要求：</w:t>
            </w:r>
            <w:r>
              <w:rPr>
                <w:rFonts w:hint="eastAsia"/>
                <w:kern w:val="0"/>
                <w:sz w:val="20"/>
              </w:rPr>
              <w:t>具有</w:t>
            </w:r>
            <w:r>
              <w:rPr>
                <w:kern w:val="0"/>
                <w:sz w:val="20"/>
              </w:rPr>
              <w:t>情境教学的计划实施能力；综合性教学能力</w:t>
            </w:r>
            <w:r>
              <w:rPr>
                <w:rFonts w:hint="eastAsia"/>
                <w:kern w:val="0"/>
                <w:sz w:val="20"/>
              </w:rPr>
              <w:t>。</w:t>
            </w:r>
          </w:p>
          <w:p w14:paraId="107DC0AB">
            <w:pPr>
              <w:adjustRightInd w:val="0"/>
              <w:snapToGrid w:val="0"/>
              <w:rPr>
                <w:rFonts w:ascii="宋体" w:hAnsi="宋体"/>
                <w:b/>
                <w:bCs/>
                <w:kern w:val="0"/>
                <w:sz w:val="20"/>
                <w:szCs w:val="21"/>
              </w:rPr>
            </w:pPr>
            <w:r>
              <w:rPr>
                <w:rFonts w:hint="eastAsia"/>
                <w:b/>
                <w:bCs/>
                <w:kern w:val="0"/>
                <w:sz w:val="20"/>
              </w:rPr>
              <w:t>学生要求：</w:t>
            </w:r>
            <w:r>
              <w:rPr>
                <w:rFonts w:hint="eastAsia"/>
                <w:kern w:val="0"/>
                <w:sz w:val="20"/>
              </w:rPr>
              <w:t>具备</w:t>
            </w:r>
            <w:r>
              <w:rPr>
                <w:kern w:val="0"/>
                <w:sz w:val="20"/>
              </w:rPr>
              <w:t>计算机基本操作</w:t>
            </w:r>
            <w:r>
              <w:rPr>
                <w:rFonts w:hint="eastAsia"/>
                <w:kern w:val="0"/>
                <w:sz w:val="20"/>
              </w:rPr>
              <w:t>的知识和能力。</w:t>
            </w:r>
          </w:p>
        </w:tc>
      </w:tr>
      <w:tr w14:paraId="657A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6D085484">
            <w:pPr>
              <w:adjustRightInd w:val="0"/>
              <w:snapToGrid w:val="0"/>
              <w:jc w:val="center"/>
              <w:rPr>
                <w:rFonts w:ascii="宋体" w:hAnsi="宋体"/>
                <w:kern w:val="0"/>
                <w:sz w:val="20"/>
                <w:szCs w:val="21"/>
              </w:rPr>
            </w:pPr>
            <w:r>
              <w:rPr>
                <w:rFonts w:hint="eastAsia" w:ascii="宋体" w:hAnsi="宋体"/>
                <w:kern w:val="0"/>
                <w:sz w:val="20"/>
                <w:szCs w:val="21"/>
              </w:rPr>
              <w:t>职业生涯规划</w:t>
            </w:r>
          </w:p>
        </w:tc>
        <w:tc>
          <w:tcPr>
            <w:tcW w:w="709" w:type="dxa"/>
            <w:vAlign w:val="center"/>
          </w:tcPr>
          <w:p w14:paraId="739F420A">
            <w:pPr>
              <w:adjustRightInd w:val="0"/>
              <w:snapToGrid w:val="0"/>
              <w:jc w:val="center"/>
              <w:rPr>
                <w:rFonts w:ascii="宋体" w:hAnsi="宋体"/>
                <w:kern w:val="0"/>
                <w:sz w:val="20"/>
                <w:szCs w:val="21"/>
              </w:rPr>
            </w:pPr>
            <w:r>
              <w:rPr>
                <w:rFonts w:hint="eastAsia" w:ascii="宋体" w:hAnsi="宋体"/>
                <w:kern w:val="0"/>
                <w:sz w:val="20"/>
                <w:szCs w:val="21"/>
              </w:rPr>
              <w:t>1</w:t>
            </w:r>
            <w:r>
              <w:rPr>
                <w:rFonts w:ascii="宋体" w:hAnsi="宋体"/>
                <w:kern w:val="0"/>
                <w:sz w:val="20"/>
                <w:szCs w:val="21"/>
              </w:rPr>
              <w:t>6</w:t>
            </w:r>
          </w:p>
        </w:tc>
        <w:tc>
          <w:tcPr>
            <w:tcW w:w="2268" w:type="dxa"/>
            <w:vAlign w:val="center"/>
          </w:tcPr>
          <w:p w14:paraId="3FB55DAA">
            <w:pPr>
              <w:adjustRightInd w:val="0"/>
              <w:snapToGrid w:val="0"/>
              <w:rPr>
                <w:kern w:val="0"/>
                <w:sz w:val="20"/>
              </w:rPr>
            </w:pPr>
            <w:r>
              <w:rPr>
                <w:rFonts w:hint="eastAsia"/>
                <w:kern w:val="0"/>
                <w:sz w:val="20"/>
              </w:rPr>
              <w:t>使学生</w:t>
            </w:r>
            <w:r>
              <w:rPr>
                <w:kern w:val="0"/>
                <w:sz w:val="20"/>
              </w:rPr>
              <w:t>明确大学生活与未来职业生涯的关系，为科学、有效地进行职业规划做好铺垫与准备，形成初步的职业发展目标；能思考并改进自己的决策模式，并能将决策技能应用于学业规划、职业目标选择及职业发展过程</w:t>
            </w:r>
            <w:r>
              <w:rPr>
                <w:rFonts w:hint="eastAsia"/>
                <w:kern w:val="0"/>
                <w:sz w:val="20"/>
              </w:rPr>
              <w:t>。</w:t>
            </w:r>
          </w:p>
        </w:tc>
        <w:tc>
          <w:tcPr>
            <w:tcW w:w="2268" w:type="dxa"/>
            <w:vAlign w:val="center"/>
          </w:tcPr>
          <w:p w14:paraId="2BD7091E">
            <w:pPr>
              <w:adjustRightInd w:val="0"/>
              <w:snapToGrid w:val="0"/>
              <w:rPr>
                <w:kern w:val="0"/>
                <w:sz w:val="20"/>
              </w:rPr>
            </w:pPr>
            <w:r>
              <w:rPr>
                <w:kern w:val="0"/>
                <w:sz w:val="20"/>
              </w:rPr>
              <w:t>职业生涯规划与职业理想；职业生涯发展条件与机遇；职业生涯发展目标与措施；职业生涯规划管理与调整</w:t>
            </w:r>
            <w:r>
              <w:rPr>
                <w:rFonts w:hint="eastAsia"/>
                <w:kern w:val="0"/>
                <w:sz w:val="20"/>
              </w:rPr>
              <w:t>。</w:t>
            </w:r>
          </w:p>
        </w:tc>
        <w:tc>
          <w:tcPr>
            <w:tcW w:w="2544" w:type="dxa"/>
            <w:vAlign w:val="center"/>
          </w:tcPr>
          <w:p w14:paraId="45890A84">
            <w:pPr>
              <w:adjustRightInd w:val="0"/>
              <w:snapToGrid w:val="0"/>
              <w:rPr>
                <w:kern w:val="0"/>
                <w:sz w:val="20"/>
              </w:rPr>
            </w:pPr>
            <w:r>
              <w:rPr>
                <w:rFonts w:hint="eastAsia" w:ascii="宋体" w:hAnsi="宋体"/>
                <w:b/>
                <w:bCs/>
                <w:kern w:val="0"/>
                <w:sz w:val="20"/>
                <w:szCs w:val="21"/>
              </w:rPr>
              <w:t>教师要求：</w:t>
            </w:r>
            <w:r>
              <w:rPr>
                <w:kern w:val="0"/>
                <w:sz w:val="20"/>
              </w:rPr>
              <w:t>具备</w:t>
            </w:r>
            <w:r>
              <w:rPr>
                <w:rFonts w:hint="eastAsia"/>
                <w:kern w:val="0"/>
                <w:sz w:val="20"/>
              </w:rPr>
              <w:t>大学生职业生涯规划规划指导</w:t>
            </w:r>
            <w:r>
              <w:rPr>
                <w:kern w:val="0"/>
                <w:sz w:val="20"/>
              </w:rPr>
              <w:t>能力</w:t>
            </w:r>
            <w:r>
              <w:rPr>
                <w:rFonts w:hint="eastAsia"/>
                <w:kern w:val="0"/>
                <w:sz w:val="20"/>
              </w:rPr>
              <w:t>、</w:t>
            </w:r>
            <w:r>
              <w:rPr>
                <w:kern w:val="0"/>
                <w:sz w:val="20"/>
              </w:rPr>
              <w:t>高素质、专业化、职业化的师资队伍</w:t>
            </w:r>
            <w:r>
              <w:rPr>
                <w:rFonts w:hint="eastAsia"/>
                <w:kern w:val="0"/>
                <w:sz w:val="20"/>
              </w:rPr>
              <w:t>。</w:t>
            </w:r>
          </w:p>
          <w:p w14:paraId="73858CE0">
            <w:pPr>
              <w:adjustRightInd w:val="0"/>
              <w:snapToGrid w:val="0"/>
              <w:rPr>
                <w:rFonts w:ascii="宋体" w:hAnsi="宋体"/>
                <w:b/>
                <w:bCs/>
                <w:kern w:val="0"/>
                <w:sz w:val="20"/>
                <w:szCs w:val="21"/>
              </w:rPr>
            </w:pPr>
            <w:r>
              <w:rPr>
                <w:rFonts w:hint="eastAsia" w:ascii="宋体" w:hAnsi="宋体"/>
                <w:b/>
                <w:bCs/>
                <w:kern w:val="0"/>
                <w:sz w:val="20"/>
                <w:szCs w:val="21"/>
              </w:rPr>
              <w:t>学生要求：</w:t>
            </w:r>
            <w:r>
              <w:rPr>
                <w:rFonts w:hint="eastAsia"/>
                <w:kern w:val="0"/>
                <w:sz w:val="20"/>
              </w:rPr>
              <w:t>具有科学合理的职业理想，能够在生涯决策和职业选择中充分利用资源，</w:t>
            </w:r>
            <w:r>
              <w:rPr>
                <w:kern w:val="0"/>
                <w:sz w:val="20"/>
              </w:rPr>
              <w:t>能够在生涯决策和职业选择中充分利用资源</w:t>
            </w:r>
            <w:r>
              <w:rPr>
                <w:rFonts w:hint="eastAsia"/>
                <w:kern w:val="0"/>
                <w:sz w:val="20"/>
              </w:rPr>
              <w:t>，</w:t>
            </w:r>
            <w:r>
              <w:rPr>
                <w:kern w:val="0"/>
                <w:sz w:val="20"/>
              </w:rPr>
              <w:t>能思考并改进自己的决策</w:t>
            </w:r>
            <w:r>
              <w:rPr>
                <w:rFonts w:hint="eastAsia"/>
                <w:kern w:val="0"/>
                <w:sz w:val="20"/>
              </w:rPr>
              <w:t>。</w:t>
            </w:r>
          </w:p>
        </w:tc>
      </w:tr>
      <w:tr w14:paraId="2FAE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518C979E">
            <w:pPr>
              <w:adjustRightInd w:val="0"/>
              <w:snapToGrid w:val="0"/>
              <w:jc w:val="center"/>
              <w:rPr>
                <w:rFonts w:ascii="宋体" w:hAnsi="宋体"/>
                <w:kern w:val="0"/>
                <w:sz w:val="20"/>
                <w:szCs w:val="21"/>
              </w:rPr>
            </w:pPr>
            <w:r>
              <w:rPr>
                <w:rFonts w:hint="eastAsia" w:ascii="宋体" w:hAnsi="宋体"/>
                <w:kern w:val="0"/>
                <w:sz w:val="20"/>
                <w:szCs w:val="21"/>
              </w:rPr>
              <w:t>就业指导与创业教育</w:t>
            </w:r>
          </w:p>
        </w:tc>
        <w:tc>
          <w:tcPr>
            <w:tcW w:w="709" w:type="dxa"/>
            <w:vAlign w:val="center"/>
          </w:tcPr>
          <w:p w14:paraId="19A1610B">
            <w:pPr>
              <w:adjustRightInd w:val="0"/>
              <w:snapToGrid w:val="0"/>
              <w:jc w:val="center"/>
              <w:rPr>
                <w:rFonts w:ascii="宋体" w:hAnsi="宋体"/>
                <w:kern w:val="0"/>
                <w:sz w:val="20"/>
                <w:szCs w:val="21"/>
              </w:rPr>
            </w:pPr>
            <w:r>
              <w:rPr>
                <w:rFonts w:ascii="宋体" w:hAnsi="宋体"/>
                <w:kern w:val="0"/>
                <w:sz w:val="20"/>
                <w:szCs w:val="21"/>
              </w:rPr>
              <w:t>18</w:t>
            </w:r>
          </w:p>
        </w:tc>
        <w:tc>
          <w:tcPr>
            <w:tcW w:w="2268" w:type="dxa"/>
            <w:vAlign w:val="center"/>
          </w:tcPr>
          <w:p w14:paraId="5F1491E6">
            <w:pPr>
              <w:adjustRightInd w:val="0"/>
              <w:snapToGrid w:val="0"/>
              <w:rPr>
                <w:kern w:val="0"/>
                <w:sz w:val="20"/>
              </w:rPr>
            </w:pPr>
            <w:r>
              <w:rPr>
                <w:rFonts w:hint="eastAsia"/>
                <w:kern w:val="0"/>
                <w:sz w:val="20"/>
              </w:rPr>
              <w:t>使学生</w:t>
            </w:r>
            <w:r>
              <w:rPr>
                <w:kern w:val="0"/>
                <w:sz w:val="20"/>
              </w:rPr>
              <w:t>能够树立起职业生涯发展的自主意识，树立积极正确的人生观、价值观和就业观念，较为清晰地认识职业的特性及社会</w:t>
            </w:r>
            <w:r>
              <w:rPr>
                <w:rFonts w:hint="eastAsia"/>
                <w:kern w:val="0"/>
                <w:sz w:val="20"/>
              </w:rPr>
              <w:t>需求。</w:t>
            </w:r>
          </w:p>
        </w:tc>
        <w:tc>
          <w:tcPr>
            <w:tcW w:w="2268" w:type="dxa"/>
            <w:vAlign w:val="center"/>
          </w:tcPr>
          <w:p w14:paraId="332E1985">
            <w:pPr>
              <w:adjustRightInd w:val="0"/>
              <w:snapToGrid w:val="0"/>
              <w:rPr>
                <w:rFonts w:hint="eastAsia" w:eastAsia="宋体"/>
                <w:kern w:val="0"/>
                <w:sz w:val="20"/>
                <w:lang w:eastAsia="zh-CN"/>
              </w:rPr>
            </w:pPr>
            <w:r>
              <w:rPr>
                <w:rFonts w:hint="eastAsia"/>
                <w:kern w:val="0"/>
                <w:sz w:val="20"/>
              </w:rPr>
              <w:t>主要讲授学生择业方面的职业测评、职业生涯规划的方法；就业方面的简历、面试等技能，同时提供就业政策、就业信息等方面的指导</w:t>
            </w:r>
            <w:r>
              <w:rPr>
                <w:rFonts w:hint="eastAsia"/>
                <w:kern w:val="0"/>
                <w:sz w:val="20"/>
                <w:lang w:eastAsia="zh-CN"/>
              </w:rPr>
              <w:t>。</w:t>
            </w:r>
          </w:p>
        </w:tc>
        <w:tc>
          <w:tcPr>
            <w:tcW w:w="2544" w:type="dxa"/>
            <w:vAlign w:val="center"/>
          </w:tcPr>
          <w:p w14:paraId="6D9A8A90">
            <w:pPr>
              <w:adjustRightInd w:val="0"/>
              <w:snapToGrid w:val="0"/>
              <w:rPr>
                <w:kern w:val="0"/>
                <w:sz w:val="20"/>
              </w:rPr>
            </w:pPr>
            <w:r>
              <w:rPr>
                <w:rFonts w:hint="eastAsia" w:ascii="宋体" w:hAnsi="宋体"/>
                <w:b/>
                <w:bCs/>
                <w:kern w:val="0"/>
                <w:sz w:val="20"/>
                <w:szCs w:val="21"/>
              </w:rPr>
              <w:t>教师要求：</w:t>
            </w:r>
            <w:r>
              <w:rPr>
                <w:kern w:val="0"/>
                <w:sz w:val="20"/>
              </w:rPr>
              <w:t>具备创业指导能力</w:t>
            </w:r>
            <w:r>
              <w:rPr>
                <w:rFonts w:hint="eastAsia"/>
                <w:kern w:val="0"/>
                <w:sz w:val="20"/>
              </w:rPr>
              <w:t>、</w:t>
            </w:r>
            <w:r>
              <w:rPr>
                <w:kern w:val="0"/>
                <w:sz w:val="20"/>
              </w:rPr>
              <w:t>高素质、专业化、职业化的师资队伍</w:t>
            </w:r>
            <w:r>
              <w:rPr>
                <w:rFonts w:hint="eastAsia"/>
                <w:kern w:val="0"/>
                <w:sz w:val="20"/>
              </w:rPr>
              <w:t>。</w:t>
            </w:r>
          </w:p>
          <w:p w14:paraId="0A95CB8D">
            <w:pPr>
              <w:adjustRightInd w:val="0"/>
              <w:snapToGrid w:val="0"/>
              <w:rPr>
                <w:rFonts w:ascii="宋体" w:hAnsi="宋体"/>
                <w:b/>
                <w:bCs/>
                <w:kern w:val="0"/>
                <w:sz w:val="20"/>
                <w:szCs w:val="21"/>
              </w:rPr>
            </w:pPr>
            <w:r>
              <w:rPr>
                <w:rFonts w:hint="eastAsia"/>
                <w:b/>
                <w:bCs/>
                <w:kern w:val="0"/>
                <w:sz w:val="20"/>
              </w:rPr>
              <w:t>学生要求：</w:t>
            </w:r>
            <w:r>
              <w:rPr>
                <w:kern w:val="0"/>
                <w:sz w:val="20"/>
              </w:rPr>
              <w:t>了解国内就业形势，掌握国家和地区有关大学生就业的方针政策</w:t>
            </w:r>
            <w:r>
              <w:rPr>
                <w:rFonts w:hint="eastAsia"/>
                <w:kern w:val="0"/>
                <w:sz w:val="20"/>
              </w:rPr>
              <w:t>。</w:t>
            </w:r>
          </w:p>
        </w:tc>
      </w:tr>
      <w:tr w14:paraId="783A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39B17844">
            <w:pPr>
              <w:adjustRightInd w:val="0"/>
              <w:snapToGrid w:val="0"/>
              <w:jc w:val="center"/>
              <w:rPr>
                <w:rFonts w:ascii="宋体" w:hAnsi="宋体"/>
                <w:kern w:val="0"/>
                <w:sz w:val="20"/>
                <w:szCs w:val="21"/>
              </w:rPr>
            </w:pPr>
            <w:r>
              <w:rPr>
                <w:rFonts w:hint="eastAsia" w:ascii="宋体" w:hAnsi="宋体"/>
                <w:kern w:val="0"/>
                <w:sz w:val="20"/>
                <w:szCs w:val="21"/>
              </w:rPr>
              <w:t>形势与政策</w:t>
            </w:r>
          </w:p>
        </w:tc>
        <w:tc>
          <w:tcPr>
            <w:tcW w:w="709" w:type="dxa"/>
            <w:vAlign w:val="center"/>
          </w:tcPr>
          <w:p w14:paraId="685F8A0A">
            <w:pPr>
              <w:adjustRightInd w:val="0"/>
              <w:snapToGrid w:val="0"/>
              <w:jc w:val="center"/>
              <w:rPr>
                <w:rFonts w:ascii="宋体" w:hAnsi="宋体"/>
                <w:kern w:val="0"/>
                <w:sz w:val="20"/>
                <w:szCs w:val="21"/>
              </w:rPr>
            </w:pPr>
            <w:r>
              <w:rPr>
                <w:rFonts w:ascii="宋体" w:hAnsi="宋体"/>
                <w:kern w:val="0"/>
                <w:sz w:val="20"/>
                <w:szCs w:val="21"/>
              </w:rPr>
              <w:t>32</w:t>
            </w:r>
          </w:p>
        </w:tc>
        <w:tc>
          <w:tcPr>
            <w:tcW w:w="2268" w:type="dxa"/>
            <w:vAlign w:val="center"/>
          </w:tcPr>
          <w:p w14:paraId="343F8A75">
            <w:pPr>
              <w:adjustRightInd w:val="0"/>
              <w:snapToGrid w:val="0"/>
              <w:rPr>
                <w:kern w:val="0"/>
                <w:sz w:val="20"/>
              </w:rPr>
            </w:pPr>
            <w:r>
              <w:rPr>
                <w:rFonts w:ascii="Songti SC" w:hAnsi="Songti SC"/>
                <w:color w:val="000000"/>
                <w:kern w:val="0"/>
                <w:sz w:val="20"/>
                <w:shd w:val="clear" w:color="auto" w:fill="FFFFFF"/>
              </w:rPr>
              <w:t>培养学生全面了解和分析当前社会的发展状况，掌握国家政治、经济、文化等方面的知识，具备科学的判断能力和理性的思考能力，培养独立思考和问题解决的能力</w:t>
            </w:r>
            <w:r>
              <w:rPr>
                <w:rFonts w:hint="eastAsia" w:ascii="Songti SC" w:hAnsi="Songti SC"/>
                <w:color w:val="000000"/>
                <w:kern w:val="0"/>
                <w:sz w:val="20"/>
                <w:shd w:val="clear" w:color="auto" w:fill="FFFFFF"/>
              </w:rPr>
              <w:t>。使学生</w:t>
            </w:r>
            <w:r>
              <w:rPr>
                <w:rFonts w:ascii="Songti SC" w:hAnsi="Songti SC"/>
                <w:color w:val="000000"/>
                <w:kern w:val="0"/>
                <w:sz w:val="20"/>
                <w:shd w:val="clear" w:color="auto" w:fill="FFFFFF"/>
              </w:rPr>
              <w:t>能够更好地适应和应对不断变化的社会环境，为个人的发展和国家的繁荣做出贡献。</w:t>
            </w:r>
          </w:p>
        </w:tc>
        <w:tc>
          <w:tcPr>
            <w:tcW w:w="2268" w:type="dxa"/>
            <w:vAlign w:val="center"/>
          </w:tcPr>
          <w:p w14:paraId="04AF88C5">
            <w:pPr>
              <w:adjustRightInd w:val="0"/>
              <w:snapToGrid w:val="0"/>
              <w:rPr>
                <w:kern w:val="0"/>
                <w:sz w:val="20"/>
              </w:rPr>
            </w:pPr>
            <w:r>
              <w:rPr>
                <w:rFonts w:hint="eastAsia"/>
                <w:kern w:val="0"/>
                <w:sz w:val="20"/>
              </w:rPr>
              <w:t>主要讲授当前国内外经济政治形势、国际关系以及国内外热点事件以及我国政府的基本原则、基本立场与应对政策。</w:t>
            </w:r>
          </w:p>
        </w:tc>
        <w:tc>
          <w:tcPr>
            <w:tcW w:w="2544" w:type="dxa"/>
            <w:vAlign w:val="center"/>
          </w:tcPr>
          <w:p w14:paraId="1CDE5158">
            <w:pPr>
              <w:adjustRightInd w:val="0"/>
              <w:snapToGrid w:val="0"/>
              <w:rPr>
                <w:kern w:val="0"/>
                <w:sz w:val="20"/>
              </w:rPr>
            </w:pPr>
            <w:r>
              <w:rPr>
                <w:rFonts w:hint="eastAsia" w:ascii="宋体" w:hAnsi="宋体"/>
                <w:b/>
                <w:bCs/>
                <w:kern w:val="0"/>
                <w:sz w:val="20"/>
                <w:szCs w:val="21"/>
              </w:rPr>
              <w:t>教师要求：</w:t>
            </w:r>
            <w:r>
              <w:rPr>
                <w:kern w:val="0"/>
                <w:sz w:val="20"/>
              </w:rPr>
              <w:t>应具备高尚的教师职业道德，拥有良好的文化素养以及专业知识能力，同时具有丰富的教学经验，了解学生，因材施教</w:t>
            </w:r>
            <w:r>
              <w:rPr>
                <w:rFonts w:hint="eastAsia"/>
                <w:kern w:val="0"/>
                <w:sz w:val="20"/>
              </w:rPr>
              <w:t>。</w:t>
            </w:r>
          </w:p>
          <w:p w14:paraId="5D1E8E02">
            <w:pPr>
              <w:adjustRightInd w:val="0"/>
              <w:snapToGrid w:val="0"/>
              <w:rPr>
                <w:rFonts w:ascii="宋体" w:hAnsi="宋体"/>
                <w:b/>
                <w:bCs/>
                <w:kern w:val="0"/>
                <w:sz w:val="20"/>
                <w:szCs w:val="21"/>
              </w:rPr>
            </w:pPr>
            <w:r>
              <w:rPr>
                <w:rFonts w:hint="eastAsia"/>
                <w:b/>
                <w:bCs/>
                <w:kern w:val="0"/>
                <w:sz w:val="20"/>
              </w:rPr>
              <w:t>学生要求：</w:t>
            </w:r>
            <w:r>
              <w:rPr>
                <w:kern w:val="0"/>
                <w:sz w:val="20"/>
              </w:rPr>
              <w:t>在明确个体对自然、社会、他人和自身应该承担责任的基础上，提高学习、交往及自我心理调节的能力</w:t>
            </w:r>
            <w:r>
              <w:rPr>
                <w:rFonts w:hint="eastAsia"/>
                <w:kern w:val="0"/>
                <w:sz w:val="20"/>
              </w:rPr>
              <w:t>。</w:t>
            </w:r>
          </w:p>
        </w:tc>
      </w:tr>
      <w:tr w14:paraId="2248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0C2AABDF">
            <w:pPr>
              <w:adjustRightInd w:val="0"/>
              <w:snapToGrid w:val="0"/>
              <w:jc w:val="center"/>
              <w:rPr>
                <w:rFonts w:ascii="宋体" w:hAnsi="宋体"/>
                <w:kern w:val="0"/>
                <w:sz w:val="20"/>
                <w:szCs w:val="21"/>
              </w:rPr>
            </w:pPr>
            <w:r>
              <w:rPr>
                <w:rFonts w:hint="eastAsia" w:ascii="宋体" w:hAnsi="宋体"/>
                <w:kern w:val="0"/>
                <w:sz w:val="20"/>
                <w:szCs w:val="21"/>
              </w:rPr>
              <w:t>体育</w:t>
            </w:r>
          </w:p>
        </w:tc>
        <w:tc>
          <w:tcPr>
            <w:tcW w:w="709" w:type="dxa"/>
            <w:vAlign w:val="center"/>
          </w:tcPr>
          <w:p w14:paraId="5C103C83">
            <w:pPr>
              <w:adjustRightInd w:val="0"/>
              <w:snapToGrid w:val="0"/>
              <w:jc w:val="center"/>
              <w:rPr>
                <w:rFonts w:ascii="宋体" w:hAnsi="宋体"/>
                <w:kern w:val="0"/>
                <w:sz w:val="20"/>
                <w:szCs w:val="21"/>
              </w:rPr>
            </w:pPr>
            <w:r>
              <w:rPr>
                <w:rFonts w:ascii="宋体" w:hAnsi="宋体"/>
                <w:kern w:val="0"/>
                <w:sz w:val="20"/>
                <w:szCs w:val="21"/>
              </w:rPr>
              <w:t>104</w:t>
            </w:r>
          </w:p>
        </w:tc>
        <w:tc>
          <w:tcPr>
            <w:tcW w:w="2268" w:type="dxa"/>
            <w:vAlign w:val="center"/>
          </w:tcPr>
          <w:p w14:paraId="75EE57C3">
            <w:pPr>
              <w:adjustRightInd w:val="0"/>
              <w:snapToGrid w:val="0"/>
              <w:rPr>
                <w:kern w:val="0"/>
                <w:sz w:val="20"/>
              </w:rPr>
            </w:pPr>
            <w:r>
              <w:rPr>
                <w:rFonts w:hint="eastAsia"/>
                <w:kern w:val="0"/>
                <w:sz w:val="20"/>
              </w:rPr>
              <w:t>使学生喜爱体育，掌握锻炼身体的基本方法，养成体育锻炼的习惯；培养学生勇敢顽强的精神，公平竞争的态度，及乐观、自信、进取的心理品质。</w:t>
            </w:r>
          </w:p>
        </w:tc>
        <w:tc>
          <w:tcPr>
            <w:tcW w:w="2268" w:type="dxa"/>
            <w:vAlign w:val="center"/>
          </w:tcPr>
          <w:p w14:paraId="53A9BC70">
            <w:pPr>
              <w:adjustRightInd w:val="0"/>
              <w:snapToGrid w:val="0"/>
              <w:rPr>
                <w:kern w:val="0"/>
                <w:sz w:val="20"/>
              </w:rPr>
            </w:pPr>
            <w:r>
              <w:rPr>
                <w:rFonts w:hint="eastAsia"/>
                <w:kern w:val="0"/>
                <w:sz w:val="20"/>
              </w:rPr>
              <w:t>主要讲授</w:t>
            </w:r>
            <w:r>
              <w:rPr>
                <w:kern w:val="0"/>
                <w:sz w:val="20"/>
              </w:rPr>
              <w:t>体育运动基本知识、运动特点和锻炼价值</w:t>
            </w:r>
            <w:r>
              <w:rPr>
                <w:rFonts w:hint="eastAsia"/>
                <w:kern w:val="0"/>
                <w:sz w:val="20"/>
              </w:rPr>
              <w:t>以及</w:t>
            </w:r>
            <w:r>
              <w:rPr>
                <w:kern w:val="0"/>
                <w:sz w:val="20"/>
              </w:rPr>
              <w:t>运动竞赛规则与裁判、竞赛组织方法</w:t>
            </w:r>
            <w:r>
              <w:rPr>
                <w:rFonts w:hint="eastAsia"/>
                <w:kern w:val="0"/>
                <w:sz w:val="20"/>
              </w:rPr>
              <w:t>和</w:t>
            </w:r>
            <w:r>
              <w:rPr>
                <w:kern w:val="0"/>
                <w:sz w:val="20"/>
              </w:rPr>
              <w:t>增强职业体能的锻炼方法和途径</w:t>
            </w:r>
            <w:r>
              <w:rPr>
                <w:rFonts w:hint="eastAsia"/>
                <w:kern w:val="0"/>
                <w:sz w:val="20"/>
              </w:rPr>
              <w:t>。</w:t>
            </w:r>
          </w:p>
        </w:tc>
        <w:tc>
          <w:tcPr>
            <w:tcW w:w="2544" w:type="dxa"/>
            <w:vAlign w:val="center"/>
          </w:tcPr>
          <w:p w14:paraId="410775C8">
            <w:pPr>
              <w:adjustRightInd w:val="0"/>
              <w:snapToGrid w:val="0"/>
              <w:rPr>
                <w:kern w:val="0"/>
                <w:sz w:val="20"/>
              </w:rPr>
            </w:pPr>
            <w:r>
              <w:rPr>
                <w:rFonts w:hint="eastAsia" w:ascii="宋体" w:hAnsi="宋体"/>
                <w:b/>
                <w:bCs/>
                <w:kern w:val="0"/>
                <w:sz w:val="20"/>
                <w:szCs w:val="21"/>
              </w:rPr>
              <w:t>教师要求：</w:t>
            </w:r>
            <w:r>
              <w:rPr>
                <w:kern w:val="0"/>
                <w:sz w:val="20"/>
              </w:rPr>
              <w:t>在教学形式上应突出体育与健康理论与实践相结合，课堂内外相结合，实践课与各专业身体素质相结合</w:t>
            </w:r>
            <w:r>
              <w:rPr>
                <w:rFonts w:hint="eastAsia"/>
                <w:kern w:val="0"/>
                <w:sz w:val="20"/>
              </w:rPr>
              <w:t>的原则。</w:t>
            </w:r>
          </w:p>
          <w:p w14:paraId="31AF0468">
            <w:pPr>
              <w:adjustRightInd w:val="0"/>
              <w:snapToGrid w:val="0"/>
              <w:rPr>
                <w:rFonts w:ascii="宋体" w:hAnsi="宋体"/>
                <w:b/>
                <w:bCs/>
                <w:kern w:val="0"/>
                <w:sz w:val="20"/>
                <w:szCs w:val="21"/>
              </w:rPr>
            </w:pPr>
            <w:r>
              <w:rPr>
                <w:rFonts w:hint="eastAsia"/>
                <w:b/>
                <w:bCs/>
                <w:kern w:val="0"/>
                <w:sz w:val="20"/>
              </w:rPr>
              <w:t>学生要求：</w:t>
            </w:r>
            <w:r>
              <w:rPr>
                <w:rFonts w:hint="eastAsia"/>
                <w:kern w:val="0"/>
                <w:sz w:val="20"/>
              </w:rPr>
              <w:t>具备</w:t>
            </w:r>
            <w:r>
              <w:rPr>
                <w:kern w:val="0"/>
                <w:sz w:val="20"/>
              </w:rPr>
              <w:t>体育理论基本知识</w:t>
            </w:r>
            <w:r>
              <w:rPr>
                <w:rFonts w:hint="eastAsia"/>
                <w:kern w:val="0"/>
                <w:sz w:val="20"/>
              </w:rPr>
              <w:t>和</w:t>
            </w:r>
            <w:r>
              <w:rPr>
                <w:kern w:val="0"/>
                <w:sz w:val="20"/>
              </w:rPr>
              <w:t>运动选项基本</w:t>
            </w:r>
            <w:r>
              <w:rPr>
                <w:rFonts w:hint="eastAsia"/>
                <w:kern w:val="0"/>
                <w:sz w:val="20"/>
              </w:rPr>
              <w:t>知识。</w:t>
            </w:r>
          </w:p>
        </w:tc>
      </w:tr>
      <w:tr w14:paraId="08A6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43A22D11">
            <w:pPr>
              <w:adjustRightInd w:val="0"/>
              <w:snapToGrid w:val="0"/>
              <w:jc w:val="center"/>
              <w:rPr>
                <w:rFonts w:ascii="宋体" w:hAnsi="宋体"/>
                <w:kern w:val="0"/>
                <w:sz w:val="20"/>
                <w:szCs w:val="21"/>
              </w:rPr>
            </w:pPr>
            <w:r>
              <w:rPr>
                <w:rFonts w:hint="eastAsia" w:ascii="宋体" w:hAnsi="宋体"/>
                <w:kern w:val="0"/>
                <w:sz w:val="20"/>
                <w:szCs w:val="21"/>
              </w:rPr>
              <w:t>劳动教育</w:t>
            </w:r>
          </w:p>
        </w:tc>
        <w:tc>
          <w:tcPr>
            <w:tcW w:w="709" w:type="dxa"/>
            <w:vAlign w:val="center"/>
          </w:tcPr>
          <w:p w14:paraId="3FA7B9C5">
            <w:pPr>
              <w:adjustRightInd w:val="0"/>
              <w:snapToGrid w:val="0"/>
              <w:jc w:val="center"/>
              <w:rPr>
                <w:rFonts w:ascii="宋体" w:hAnsi="宋体"/>
                <w:kern w:val="0"/>
                <w:sz w:val="20"/>
                <w:szCs w:val="21"/>
              </w:rPr>
            </w:pPr>
            <w:r>
              <w:rPr>
                <w:rFonts w:ascii="宋体" w:hAnsi="宋体"/>
                <w:kern w:val="0"/>
                <w:sz w:val="20"/>
                <w:szCs w:val="21"/>
              </w:rPr>
              <w:t>32</w:t>
            </w:r>
          </w:p>
        </w:tc>
        <w:tc>
          <w:tcPr>
            <w:tcW w:w="2268" w:type="dxa"/>
            <w:vAlign w:val="center"/>
          </w:tcPr>
          <w:p w14:paraId="208E972E">
            <w:pPr>
              <w:adjustRightInd w:val="0"/>
              <w:snapToGrid w:val="0"/>
              <w:rPr>
                <w:kern w:val="0"/>
                <w:sz w:val="20"/>
              </w:rPr>
            </w:pPr>
            <w:r>
              <w:rPr>
                <w:rFonts w:hint="eastAsia"/>
                <w:kern w:val="0"/>
                <w:sz w:val="20"/>
              </w:rPr>
              <w:t>培养学生养成良好的劳动品质、劳动与职业等内容，使学生感受到榜样的力量，形成百折不挠、敢于担当的高尚品格；通过劳动任务，引导学生合法劳动、安全劳动，促进学生积极参与、团队协作的能力。</w:t>
            </w:r>
          </w:p>
        </w:tc>
        <w:tc>
          <w:tcPr>
            <w:tcW w:w="2268" w:type="dxa"/>
            <w:vAlign w:val="center"/>
          </w:tcPr>
          <w:p w14:paraId="194A86AC">
            <w:pPr>
              <w:adjustRightInd w:val="0"/>
              <w:snapToGrid w:val="0"/>
              <w:rPr>
                <w:kern w:val="0"/>
                <w:sz w:val="20"/>
              </w:rPr>
            </w:pPr>
            <w:r>
              <w:rPr>
                <w:rFonts w:hint="eastAsia"/>
                <w:kern w:val="0"/>
                <w:sz w:val="20"/>
              </w:rPr>
              <w:t>主要讲授劳动观念、具备必备的劳动技能、大力弘扬三个精神等内容。</w:t>
            </w:r>
          </w:p>
        </w:tc>
        <w:tc>
          <w:tcPr>
            <w:tcW w:w="2544" w:type="dxa"/>
            <w:vAlign w:val="center"/>
          </w:tcPr>
          <w:p w14:paraId="6279371F">
            <w:pPr>
              <w:adjustRightInd w:val="0"/>
              <w:snapToGrid w:val="0"/>
              <w:rPr>
                <w:kern w:val="0"/>
                <w:sz w:val="20"/>
              </w:rPr>
            </w:pPr>
            <w:r>
              <w:rPr>
                <w:rFonts w:hint="eastAsia" w:ascii="宋体" w:hAnsi="宋体"/>
                <w:b/>
                <w:bCs/>
                <w:kern w:val="0"/>
                <w:sz w:val="20"/>
                <w:szCs w:val="21"/>
              </w:rPr>
              <w:t>教师要求：</w:t>
            </w:r>
            <w:r>
              <w:rPr>
                <w:kern w:val="0"/>
                <w:sz w:val="20"/>
              </w:rPr>
              <w:t>有理论教学</w:t>
            </w:r>
            <w:r>
              <w:rPr>
                <w:rFonts w:hint="eastAsia"/>
                <w:kern w:val="0"/>
                <w:sz w:val="20"/>
              </w:rPr>
              <w:t>与</w:t>
            </w:r>
            <w:r>
              <w:rPr>
                <w:kern w:val="0"/>
                <w:sz w:val="20"/>
              </w:rPr>
              <w:t>实践教学经验，创新教学主法，充分发挥学生的主体作用</w:t>
            </w:r>
            <w:r>
              <w:rPr>
                <w:rFonts w:hint="eastAsia"/>
                <w:kern w:val="0"/>
                <w:sz w:val="20"/>
              </w:rPr>
              <w:t>。</w:t>
            </w:r>
          </w:p>
          <w:p w14:paraId="5B1D287C">
            <w:pPr>
              <w:adjustRightInd w:val="0"/>
              <w:snapToGrid w:val="0"/>
              <w:rPr>
                <w:rFonts w:ascii="宋体" w:hAnsi="宋体"/>
                <w:b/>
                <w:bCs/>
                <w:kern w:val="0"/>
                <w:sz w:val="20"/>
                <w:szCs w:val="21"/>
              </w:rPr>
            </w:pPr>
            <w:r>
              <w:rPr>
                <w:rFonts w:hint="eastAsia" w:ascii="宋体" w:hAnsi="宋体"/>
                <w:b/>
                <w:bCs/>
                <w:kern w:val="0"/>
                <w:sz w:val="20"/>
                <w:szCs w:val="21"/>
              </w:rPr>
              <w:t>学生要求：</w:t>
            </w:r>
            <w:r>
              <w:rPr>
                <w:rFonts w:hint="eastAsia"/>
                <w:kern w:val="0"/>
                <w:sz w:val="20"/>
              </w:rPr>
              <w:t>具备</w:t>
            </w:r>
            <w:r>
              <w:rPr>
                <w:kern w:val="0"/>
                <w:sz w:val="20"/>
              </w:rPr>
              <w:t>较强的工作责任心、吃苦耐劳、脚踏实地、知难而进、无私奉献和探索、创新的开拓精神</w:t>
            </w:r>
            <w:r>
              <w:rPr>
                <w:rFonts w:hint="eastAsia"/>
                <w:kern w:val="0"/>
                <w:sz w:val="20"/>
              </w:rPr>
              <w:t>。</w:t>
            </w:r>
          </w:p>
        </w:tc>
      </w:tr>
      <w:tr w14:paraId="7AE7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3AB48275">
            <w:pPr>
              <w:adjustRightInd w:val="0"/>
              <w:snapToGrid w:val="0"/>
              <w:jc w:val="center"/>
              <w:rPr>
                <w:rFonts w:ascii="宋体" w:hAnsi="宋体"/>
                <w:kern w:val="0"/>
                <w:sz w:val="20"/>
                <w:szCs w:val="21"/>
              </w:rPr>
            </w:pPr>
            <w:r>
              <w:rPr>
                <w:rFonts w:hint="eastAsia" w:ascii="宋体" w:hAnsi="宋体"/>
                <w:kern w:val="0"/>
                <w:sz w:val="20"/>
                <w:szCs w:val="21"/>
              </w:rPr>
              <w:t>大学生心理健康教育</w:t>
            </w:r>
          </w:p>
        </w:tc>
        <w:tc>
          <w:tcPr>
            <w:tcW w:w="709" w:type="dxa"/>
            <w:vAlign w:val="center"/>
          </w:tcPr>
          <w:p w14:paraId="39FD9693">
            <w:pPr>
              <w:adjustRightInd w:val="0"/>
              <w:snapToGrid w:val="0"/>
              <w:jc w:val="center"/>
              <w:rPr>
                <w:rFonts w:ascii="宋体" w:hAnsi="宋体"/>
                <w:kern w:val="0"/>
                <w:sz w:val="20"/>
                <w:szCs w:val="21"/>
              </w:rPr>
            </w:pPr>
            <w:r>
              <w:rPr>
                <w:rFonts w:ascii="宋体" w:hAnsi="宋体"/>
                <w:kern w:val="0"/>
                <w:sz w:val="20"/>
                <w:szCs w:val="21"/>
              </w:rPr>
              <w:t>18</w:t>
            </w:r>
          </w:p>
        </w:tc>
        <w:tc>
          <w:tcPr>
            <w:tcW w:w="2268" w:type="dxa"/>
            <w:vAlign w:val="center"/>
          </w:tcPr>
          <w:p w14:paraId="50865799">
            <w:pPr>
              <w:adjustRightInd w:val="0"/>
              <w:snapToGrid w:val="0"/>
              <w:rPr>
                <w:kern w:val="0"/>
                <w:sz w:val="20"/>
              </w:rPr>
            </w:pPr>
            <w:r>
              <w:rPr>
                <w:kern w:val="0"/>
                <w:sz w:val="20"/>
              </w:rPr>
              <w:t>使学生能够关注自我及他人的心理健康，树立起维护心理健康的意识，同时掌握一定的心理调节技能，能从容地应对生活。</w:t>
            </w:r>
          </w:p>
        </w:tc>
        <w:tc>
          <w:tcPr>
            <w:tcW w:w="2268" w:type="dxa"/>
            <w:vAlign w:val="center"/>
          </w:tcPr>
          <w:p w14:paraId="4CDB6C63">
            <w:pPr>
              <w:adjustRightInd w:val="0"/>
              <w:snapToGrid w:val="0"/>
              <w:rPr>
                <w:kern w:val="0"/>
                <w:sz w:val="20"/>
              </w:rPr>
            </w:pPr>
            <w:r>
              <w:rPr>
                <w:rFonts w:hint="eastAsia"/>
                <w:kern w:val="0"/>
                <w:sz w:val="20"/>
              </w:rPr>
              <w:t>主要从大学生入学适应、心理健康概述、常见异常心理、自我意识、人格、学习、情绪、人际交往、爱情、挫折、生命教育和网络健康等方面着手，全面深入地剖析了大学生的心理健康问题，帮助学生更好地理解心理健康、了解自己，学习心理自助与互助的方法。</w:t>
            </w:r>
          </w:p>
        </w:tc>
        <w:tc>
          <w:tcPr>
            <w:tcW w:w="2544" w:type="dxa"/>
            <w:vAlign w:val="center"/>
          </w:tcPr>
          <w:p w14:paraId="6A053CEE">
            <w:pPr>
              <w:adjustRightInd w:val="0"/>
              <w:snapToGrid w:val="0"/>
              <w:rPr>
                <w:kern w:val="0"/>
                <w:sz w:val="20"/>
              </w:rPr>
            </w:pPr>
            <w:r>
              <w:rPr>
                <w:rFonts w:hint="eastAsia" w:ascii="宋体" w:hAnsi="宋体"/>
                <w:b/>
                <w:bCs/>
                <w:kern w:val="0"/>
                <w:sz w:val="20"/>
                <w:szCs w:val="21"/>
              </w:rPr>
              <w:t>教师要求：</w:t>
            </w:r>
            <w:r>
              <w:rPr>
                <w:kern w:val="0"/>
                <w:sz w:val="20"/>
              </w:rPr>
              <w:t>具备心理学、教育学相关学历及国家心理咨询师资质，有心理学教学或相关工作经验，心理健康，情绪积极稳定的教师进行授课</w:t>
            </w:r>
            <w:r>
              <w:rPr>
                <w:rFonts w:hint="eastAsia"/>
                <w:kern w:val="0"/>
                <w:sz w:val="20"/>
              </w:rPr>
              <w:t>。</w:t>
            </w:r>
          </w:p>
          <w:p w14:paraId="18D9E9B5">
            <w:pPr>
              <w:adjustRightInd w:val="0"/>
              <w:snapToGrid w:val="0"/>
              <w:rPr>
                <w:rFonts w:ascii="宋体" w:hAnsi="宋体"/>
                <w:b/>
                <w:bCs/>
                <w:kern w:val="0"/>
                <w:sz w:val="20"/>
                <w:szCs w:val="21"/>
              </w:rPr>
            </w:pPr>
            <w:r>
              <w:rPr>
                <w:rFonts w:hint="eastAsia"/>
                <w:b/>
                <w:bCs/>
                <w:kern w:val="0"/>
                <w:sz w:val="20"/>
              </w:rPr>
              <w:t>学生要求：</w:t>
            </w:r>
            <w:r>
              <w:rPr>
                <w:kern w:val="0"/>
                <w:sz w:val="20"/>
              </w:rPr>
              <w:t>积极配合教师教学工作、主动参与教学环节，能够与老师成互动，营造良好的教学氛围。</w:t>
            </w:r>
          </w:p>
        </w:tc>
      </w:tr>
      <w:tr w14:paraId="6C87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28CD2737">
            <w:pPr>
              <w:adjustRightInd w:val="0"/>
              <w:snapToGrid w:val="0"/>
              <w:jc w:val="center"/>
              <w:rPr>
                <w:rFonts w:ascii="宋体" w:hAnsi="宋体"/>
                <w:kern w:val="0"/>
                <w:sz w:val="20"/>
                <w:szCs w:val="21"/>
              </w:rPr>
            </w:pPr>
            <w:r>
              <w:rPr>
                <w:rFonts w:hint="eastAsia" w:ascii="宋体" w:hAnsi="宋体"/>
                <w:kern w:val="0"/>
                <w:sz w:val="20"/>
                <w:szCs w:val="21"/>
              </w:rPr>
              <w:t>习近平新时代中国特色社会主义思想概论</w:t>
            </w:r>
          </w:p>
        </w:tc>
        <w:tc>
          <w:tcPr>
            <w:tcW w:w="709" w:type="dxa"/>
            <w:vAlign w:val="center"/>
          </w:tcPr>
          <w:p w14:paraId="6166393A">
            <w:pPr>
              <w:adjustRightInd w:val="0"/>
              <w:snapToGrid w:val="0"/>
              <w:jc w:val="center"/>
              <w:rPr>
                <w:rFonts w:ascii="宋体" w:hAnsi="宋体"/>
                <w:kern w:val="0"/>
                <w:sz w:val="20"/>
                <w:szCs w:val="21"/>
              </w:rPr>
            </w:pPr>
            <w:r>
              <w:rPr>
                <w:rFonts w:ascii="宋体" w:hAnsi="宋体"/>
                <w:kern w:val="0"/>
                <w:sz w:val="20"/>
                <w:szCs w:val="21"/>
              </w:rPr>
              <w:t>54</w:t>
            </w:r>
          </w:p>
        </w:tc>
        <w:tc>
          <w:tcPr>
            <w:tcW w:w="2268" w:type="dxa"/>
            <w:vAlign w:val="center"/>
          </w:tcPr>
          <w:p w14:paraId="29AE5484">
            <w:pPr>
              <w:adjustRightInd w:val="0"/>
              <w:snapToGrid w:val="0"/>
              <w:rPr>
                <w:kern w:val="0"/>
                <w:sz w:val="20"/>
              </w:rPr>
            </w:pPr>
            <w:r>
              <w:rPr>
                <w:rFonts w:hint="eastAsia"/>
                <w:kern w:val="0"/>
                <w:sz w:val="20"/>
              </w:rPr>
              <w:t>引导学生树立共产主义远大理想和中国特色社会主义共同理想，坚定“四个自信”，厚植爱国主义情怀，把爱国情、强国志、报国行自觉融入建设社会主义现代化强国、实现中华民族伟大复兴的奋斗之中。</w:t>
            </w:r>
          </w:p>
        </w:tc>
        <w:tc>
          <w:tcPr>
            <w:tcW w:w="2268" w:type="dxa"/>
            <w:vAlign w:val="center"/>
          </w:tcPr>
          <w:p w14:paraId="1FED1BC1">
            <w:pPr>
              <w:adjustRightInd w:val="0"/>
              <w:snapToGrid w:val="0"/>
              <w:rPr>
                <w:kern w:val="0"/>
                <w:sz w:val="20"/>
              </w:rPr>
            </w:pPr>
            <w:r>
              <w:rPr>
                <w:rFonts w:hint="eastAsia"/>
                <w:kern w:val="0"/>
                <w:sz w:val="20"/>
              </w:rPr>
              <w:t>主要讲授习近平新时代中国特色社会主义思想的核心要义、习近平新时代中国特色社会主义思想的理论与实践贡献、习近平新时代中国特色社会主义思想的方法论、习近平新时代中国特色社会主义思想的理论品格、习近平新时代中国特色社会主义思想的历史地位等内容。</w:t>
            </w:r>
          </w:p>
        </w:tc>
        <w:tc>
          <w:tcPr>
            <w:tcW w:w="2544" w:type="dxa"/>
            <w:vAlign w:val="center"/>
          </w:tcPr>
          <w:p w14:paraId="01373EAD">
            <w:pPr>
              <w:adjustRightInd w:val="0"/>
              <w:snapToGrid w:val="0"/>
              <w:rPr>
                <w:kern w:val="0"/>
                <w:sz w:val="20"/>
              </w:rPr>
            </w:pPr>
            <w:r>
              <w:rPr>
                <w:rFonts w:hint="eastAsia" w:ascii="宋体" w:hAnsi="宋体"/>
                <w:b/>
                <w:bCs/>
                <w:kern w:val="0"/>
                <w:sz w:val="20"/>
                <w:szCs w:val="21"/>
              </w:rPr>
              <w:t>教师要求：</w:t>
            </w:r>
            <w:r>
              <w:rPr>
                <w:kern w:val="0"/>
                <w:sz w:val="20"/>
              </w:rPr>
              <w:t>教师有理论思政和实践思政授课经验，能够熟练运用网络平台开展线上线下辅助教学，能综合运用数字新媒体赋能思政课程。</w:t>
            </w:r>
          </w:p>
          <w:p w14:paraId="664E7FBF">
            <w:pPr>
              <w:adjustRightInd w:val="0"/>
              <w:snapToGrid w:val="0"/>
              <w:rPr>
                <w:rFonts w:ascii="宋体" w:hAnsi="宋体"/>
                <w:b/>
                <w:bCs/>
                <w:kern w:val="0"/>
                <w:sz w:val="20"/>
                <w:szCs w:val="21"/>
              </w:rPr>
            </w:pPr>
            <w:r>
              <w:rPr>
                <w:rFonts w:hint="eastAsia"/>
                <w:b/>
                <w:bCs/>
                <w:kern w:val="0"/>
                <w:sz w:val="20"/>
              </w:rPr>
              <w:t>学生要求：</w:t>
            </w:r>
            <w:r>
              <w:rPr>
                <w:kern w:val="0"/>
                <w:sz w:val="20"/>
              </w:rPr>
              <w:t>具备基本的理论常识和政治素养，能够清楚沟通表达，可以参与分工与协作</w:t>
            </w:r>
            <w:r>
              <w:rPr>
                <w:rFonts w:hint="eastAsia"/>
                <w:kern w:val="0"/>
                <w:sz w:val="20"/>
              </w:rPr>
              <w:t>。</w:t>
            </w:r>
          </w:p>
        </w:tc>
      </w:tr>
      <w:tr w14:paraId="266A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3B28753B">
            <w:pPr>
              <w:adjustRightInd w:val="0"/>
              <w:snapToGrid w:val="0"/>
              <w:jc w:val="center"/>
              <w:rPr>
                <w:rFonts w:ascii="宋体" w:hAnsi="宋体"/>
                <w:kern w:val="0"/>
                <w:sz w:val="20"/>
                <w:szCs w:val="21"/>
              </w:rPr>
            </w:pPr>
            <w:r>
              <w:rPr>
                <w:rFonts w:hint="eastAsia" w:ascii="宋体" w:hAnsi="宋体"/>
                <w:kern w:val="0"/>
                <w:sz w:val="20"/>
                <w:szCs w:val="21"/>
              </w:rPr>
              <w:t>国家安全教育</w:t>
            </w:r>
          </w:p>
        </w:tc>
        <w:tc>
          <w:tcPr>
            <w:tcW w:w="709" w:type="dxa"/>
            <w:vAlign w:val="center"/>
          </w:tcPr>
          <w:p w14:paraId="1A263ECA">
            <w:pPr>
              <w:adjustRightInd w:val="0"/>
              <w:snapToGrid w:val="0"/>
              <w:jc w:val="center"/>
              <w:rPr>
                <w:rFonts w:ascii="宋体" w:hAnsi="宋体"/>
                <w:kern w:val="0"/>
                <w:sz w:val="20"/>
                <w:szCs w:val="21"/>
              </w:rPr>
            </w:pPr>
            <w:r>
              <w:rPr>
                <w:rFonts w:ascii="宋体" w:hAnsi="宋体"/>
                <w:kern w:val="0"/>
                <w:sz w:val="20"/>
                <w:szCs w:val="21"/>
              </w:rPr>
              <w:t>18</w:t>
            </w:r>
          </w:p>
        </w:tc>
        <w:tc>
          <w:tcPr>
            <w:tcW w:w="2268" w:type="dxa"/>
            <w:vAlign w:val="center"/>
          </w:tcPr>
          <w:p w14:paraId="48438381">
            <w:pPr>
              <w:adjustRightInd w:val="0"/>
              <w:snapToGrid w:val="0"/>
              <w:rPr>
                <w:kern w:val="0"/>
                <w:sz w:val="20"/>
              </w:rPr>
            </w:pPr>
            <w:r>
              <w:rPr>
                <w:rFonts w:hint="eastAsia"/>
                <w:kern w:val="0"/>
                <w:sz w:val="20"/>
              </w:rPr>
              <w:t>使学生理解国家安全的基本内涵。深刻理解习近平总书记总体国家安全观的重要内容，对当前国家安全的不同种类和内涵，提高个人的政治敏感性和鉴别信息的能力。了解维护国家安全的途径与方法。</w:t>
            </w:r>
          </w:p>
        </w:tc>
        <w:tc>
          <w:tcPr>
            <w:tcW w:w="2268" w:type="dxa"/>
            <w:vAlign w:val="center"/>
          </w:tcPr>
          <w:p w14:paraId="6118C793">
            <w:pPr>
              <w:adjustRightInd w:val="0"/>
              <w:snapToGrid w:val="0"/>
              <w:rPr>
                <w:kern w:val="0"/>
                <w:sz w:val="20"/>
              </w:rPr>
            </w:pPr>
            <w:r>
              <w:rPr>
                <w:rFonts w:hint="eastAsia"/>
                <w:kern w:val="0"/>
                <w:sz w:val="20"/>
              </w:rPr>
              <w:t>主要讲授国民安全、国土安全、经济安全、主权安全、政治安全、军事安全、文化安全、科技安全、生态安全、信息安全等多个方面。</w:t>
            </w:r>
          </w:p>
        </w:tc>
        <w:tc>
          <w:tcPr>
            <w:tcW w:w="2544" w:type="dxa"/>
            <w:vAlign w:val="center"/>
          </w:tcPr>
          <w:p w14:paraId="531715CA">
            <w:pPr>
              <w:adjustRightInd w:val="0"/>
              <w:snapToGrid w:val="0"/>
              <w:rPr>
                <w:kern w:val="0"/>
                <w:sz w:val="20"/>
              </w:rPr>
            </w:pPr>
            <w:r>
              <w:rPr>
                <w:rFonts w:hint="eastAsia" w:ascii="宋体" w:hAnsi="宋体"/>
                <w:b/>
                <w:bCs/>
                <w:kern w:val="0"/>
                <w:sz w:val="20"/>
                <w:szCs w:val="21"/>
              </w:rPr>
              <w:t>教师要求：</w:t>
            </w:r>
            <w:r>
              <w:rPr>
                <w:kern w:val="0"/>
                <w:sz w:val="20"/>
              </w:rPr>
              <w:t>教师有理论思政和实践思政授课经验，能够熟练运用网络平台开展线上线下辅助教学，能综合运用数字新媒体赋能思政课程。</w:t>
            </w:r>
          </w:p>
          <w:p w14:paraId="0EAD38D5">
            <w:pPr>
              <w:adjustRightInd w:val="0"/>
              <w:snapToGrid w:val="0"/>
              <w:rPr>
                <w:rFonts w:ascii="宋体" w:hAnsi="宋体"/>
                <w:b/>
                <w:bCs/>
                <w:kern w:val="0"/>
                <w:sz w:val="20"/>
                <w:szCs w:val="21"/>
              </w:rPr>
            </w:pPr>
            <w:r>
              <w:rPr>
                <w:rFonts w:hint="eastAsia"/>
                <w:b/>
                <w:bCs/>
                <w:kern w:val="0"/>
                <w:sz w:val="20"/>
              </w:rPr>
              <w:t>学生要求：</w:t>
            </w:r>
            <w:r>
              <w:rPr>
                <w:kern w:val="0"/>
                <w:sz w:val="20"/>
              </w:rPr>
              <w:t>具备基本的理论常识和政治素养，能够清楚沟通表达，可以参与分工与协作</w:t>
            </w:r>
            <w:r>
              <w:rPr>
                <w:rFonts w:hint="eastAsia"/>
                <w:kern w:val="0"/>
                <w:sz w:val="20"/>
              </w:rPr>
              <w:t>。</w:t>
            </w:r>
          </w:p>
        </w:tc>
      </w:tr>
      <w:tr w14:paraId="3C5B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4BED8D2F">
            <w:pPr>
              <w:adjustRightInd w:val="0"/>
              <w:snapToGrid w:val="0"/>
              <w:jc w:val="center"/>
              <w:rPr>
                <w:rFonts w:ascii="宋体" w:hAnsi="宋体"/>
                <w:kern w:val="0"/>
                <w:sz w:val="20"/>
                <w:szCs w:val="21"/>
              </w:rPr>
            </w:pPr>
            <w:r>
              <w:rPr>
                <w:rFonts w:hint="eastAsia" w:ascii="宋体" w:hAnsi="宋体"/>
                <w:kern w:val="0"/>
                <w:sz w:val="20"/>
                <w:szCs w:val="21"/>
              </w:rPr>
              <w:t>中华民族共同体概论</w:t>
            </w:r>
          </w:p>
        </w:tc>
        <w:tc>
          <w:tcPr>
            <w:tcW w:w="709" w:type="dxa"/>
            <w:vAlign w:val="center"/>
          </w:tcPr>
          <w:p w14:paraId="734E2ADF">
            <w:pPr>
              <w:adjustRightInd w:val="0"/>
              <w:snapToGrid w:val="0"/>
              <w:jc w:val="center"/>
              <w:rPr>
                <w:rFonts w:ascii="宋体" w:hAnsi="宋体"/>
                <w:kern w:val="0"/>
                <w:sz w:val="20"/>
                <w:szCs w:val="21"/>
              </w:rPr>
            </w:pPr>
            <w:r>
              <w:rPr>
                <w:rFonts w:hint="eastAsia" w:ascii="宋体" w:hAnsi="宋体"/>
                <w:kern w:val="0"/>
                <w:sz w:val="20"/>
                <w:szCs w:val="21"/>
              </w:rPr>
              <w:t>3</w:t>
            </w:r>
            <w:r>
              <w:rPr>
                <w:rFonts w:ascii="宋体" w:hAnsi="宋体"/>
                <w:kern w:val="0"/>
                <w:sz w:val="20"/>
                <w:szCs w:val="21"/>
              </w:rPr>
              <w:t>0</w:t>
            </w:r>
          </w:p>
        </w:tc>
        <w:tc>
          <w:tcPr>
            <w:tcW w:w="2268" w:type="dxa"/>
            <w:vAlign w:val="center"/>
          </w:tcPr>
          <w:p w14:paraId="18CFB54F">
            <w:pPr>
              <w:adjustRightInd w:val="0"/>
              <w:snapToGrid w:val="0"/>
              <w:rPr>
                <w:kern w:val="0"/>
                <w:sz w:val="20"/>
              </w:rPr>
            </w:pPr>
            <w:r>
              <w:rPr>
                <w:rFonts w:hint="eastAsia"/>
                <w:kern w:val="0"/>
                <w:sz w:val="20"/>
              </w:rPr>
              <w:t>使学生了解和掌握马克思主义民族理论的基本观点、中国多民族国家的基本国情、中国共产党处理民族问题的基本政策，铸牢中华民族共同体的意义、途径等，培养学生树立马克思主义国家观、民族观、历史观、文化观、宗教观。</w:t>
            </w:r>
          </w:p>
        </w:tc>
        <w:tc>
          <w:tcPr>
            <w:tcW w:w="2268" w:type="dxa"/>
            <w:vAlign w:val="center"/>
          </w:tcPr>
          <w:p w14:paraId="736B5AC2">
            <w:pPr>
              <w:adjustRightInd w:val="0"/>
              <w:snapToGrid w:val="0"/>
              <w:rPr>
                <w:kern w:val="0"/>
                <w:sz w:val="20"/>
              </w:rPr>
            </w:pPr>
            <w:r>
              <w:rPr>
                <w:rFonts w:hint="eastAsia"/>
                <w:kern w:val="0"/>
                <w:sz w:val="20"/>
              </w:rPr>
              <w:t>主要讲授中华民族共同体理论基础，树立正确的中华民族历史观，中华民族共同体在每个历史阶段“三交”演进脉络与内容特征，中华民族共同体建设与推动构建人类命运共同体的关系等内容。</w:t>
            </w:r>
          </w:p>
        </w:tc>
        <w:tc>
          <w:tcPr>
            <w:tcW w:w="2544" w:type="dxa"/>
            <w:vAlign w:val="center"/>
          </w:tcPr>
          <w:p w14:paraId="48F590E0">
            <w:pPr>
              <w:adjustRightInd w:val="0"/>
              <w:snapToGrid w:val="0"/>
              <w:rPr>
                <w:kern w:val="0"/>
                <w:sz w:val="20"/>
              </w:rPr>
            </w:pPr>
            <w:r>
              <w:rPr>
                <w:rFonts w:hint="eastAsia" w:ascii="宋体" w:hAnsi="宋体"/>
                <w:b/>
                <w:bCs/>
                <w:kern w:val="0"/>
                <w:sz w:val="20"/>
                <w:szCs w:val="21"/>
              </w:rPr>
              <w:t>教师要求：</w:t>
            </w:r>
            <w:r>
              <w:rPr>
                <w:kern w:val="0"/>
                <w:sz w:val="20"/>
              </w:rPr>
              <w:t>教师有理论思政和实践思政授课经验，能够熟练运用网络平台开展线上线下辅助教学，能综合运用数字新媒体赋能思政课程。</w:t>
            </w:r>
          </w:p>
          <w:p w14:paraId="7885B41E">
            <w:pPr>
              <w:adjustRightInd w:val="0"/>
              <w:snapToGrid w:val="0"/>
              <w:rPr>
                <w:rFonts w:hint="eastAsia"/>
                <w:kern w:val="0"/>
                <w:sz w:val="20"/>
              </w:rPr>
            </w:pPr>
            <w:r>
              <w:rPr>
                <w:rFonts w:hint="eastAsia"/>
                <w:b/>
                <w:bCs/>
                <w:kern w:val="0"/>
                <w:sz w:val="20"/>
              </w:rPr>
              <w:t>学生要求：</w:t>
            </w:r>
            <w:r>
              <w:rPr>
                <w:kern w:val="0"/>
                <w:sz w:val="20"/>
              </w:rPr>
              <w:t>具备基本的理论常识和政治素养，能够清楚沟通表达，可以参与分工与协作</w:t>
            </w:r>
            <w:r>
              <w:rPr>
                <w:rFonts w:hint="eastAsia"/>
                <w:kern w:val="0"/>
                <w:sz w:val="20"/>
              </w:rPr>
              <w:t>。</w:t>
            </w:r>
          </w:p>
          <w:p w14:paraId="73CA8DD4">
            <w:pPr>
              <w:adjustRightInd w:val="0"/>
              <w:snapToGrid w:val="0"/>
              <w:rPr>
                <w:rFonts w:hint="eastAsia"/>
                <w:kern w:val="0"/>
                <w:sz w:val="20"/>
              </w:rPr>
            </w:pPr>
          </w:p>
        </w:tc>
      </w:tr>
      <w:tr w14:paraId="19E8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2A1EC579">
            <w:pPr>
              <w:adjustRightInd w:val="0"/>
              <w:snapToGrid w:val="0"/>
              <w:jc w:val="center"/>
              <w:rPr>
                <w:rFonts w:ascii="宋体" w:hAnsi="宋体"/>
                <w:kern w:val="0"/>
                <w:sz w:val="20"/>
                <w:szCs w:val="21"/>
              </w:rPr>
            </w:pPr>
            <w:r>
              <w:rPr>
                <w:rFonts w:hint="eastAsia" w:ascii="宋体" w:hAnsi="宋体"/>
                <w:kern w:val="0"/>
                <w:sz w:val="20"/>
                <w:szCs w:val="21"/>
              </w:rPr>
              <w:t>中国共产党史</w:t>
            </w:r>
          </w:p>
        </w:tc>
        <w:tc>
          <w:tcPr>
            <w:tcW w:w="709" w:type="dxa"/>
            <w:vAlign w:val="center"/>
          </w:tcPr>
          <w:p w14:paraId="798A79D6">
            <w:pPr>
              <w:adjustRightInd w:val="0"/>
              <w:snapToGrid w:val="0"/>
              <w:jc w:val="center"/>
              <w:rPr>
                <w:rFonts w:ascii="宋体" w:hAnsi="宋体"/>
                <w:kern w:val="0"/>
                <w:sz w:val="20"/>
                <w:szCs w:val="21"/>
              </w:rPr>
            </w:pPr>
            <w:r>
              <w:rPr>
                <w:rFonts w:hint="eastAsia" w:ascii="宋体" w:hAnsi="宋体"/>
                <w:kern w:val="0"/>
                <w:sz w:val="20"/>
                <w:szCs w:val="21"/>
              </w:rPr>
              <w:t>1</w:t>
            </w:r>
            <w:r>
              <w:rPr>
                <w:rFonts w:ascii="宋体" w:hAnsi="宋体"/>
                <w:kern w:val="0"/>
                <w:sz w:val="20"/>
                <w:szCs w:val="21"/>
              </w:rPr>
              <w:t>8</w:t>
            </w:r>
          </w:p>
        </w:tc>
        <w:tc>
          <w:tcPr>
            <w:tcW w:w="2268" w:type="dxa"/>
            <w:vAlign w:val="center"/>
          </w:tcPr>
          <w:p w14:paraId="50710080">
            <w:pPr>
              <w:adjustRightInd w:val="0"/>
              <w:snapToGrid w:val="0"/>
              <w:rPr>
                <w:kern w:val="0"/>
                <w:sz w:val="20"/>
              </w:rPr>
            </w:pPr>
            <w:r>
              <w:rPr>
                <w:rFonts w:ascii="Segoe UI" w:hAnsi="Segoe UI" w:cs="Segoe UI"/>
                <w:color w:val="1B1C21"/>
                <w:spacing w:val="8"/>
                <w:kern w:val="0"/>
                <w:sz w:val="20"/>
                <w:shd w:val="clear" w:color="auto" w:fill="FFFFFF"/>
              </w:rPr>
              <w:t>帮助学生理解中国共产党从创立到新时代的百年奋斗历程</w:t>
            </w:r>
            <w:r>
              <w:rPr>
                <w:rFonts w:hint="eastAsia" w:ascii="Segoe UI" w:hAnsi="Segoe UI" w:cs="Segoe UI"/>
                <w:color w:val="1B1C21"/>
                <w:spacing w:val="8"/>
                <w:kern w:val="0"/>
                <w:sz w:val="20"/>
                <w:shd w:val="clear" w:color="auto" w:fill="FFFFFF"/>
              </w:rPr>
              <w:t>，</w:t>
            </w:r>
            <w:r>
              <w:rPr>
                <w:rFonts w:ascii="Segoe UI" w:hAnsi="Segoe UI" w:cs="Segoe UI"/>
                <w:color w:val="1B1C21"/>
                <w:spacing w:val="8"/>
                <w:kern w:val="0"/>
                <w:sz w:val="20"/>
                <w:shd w:val="clear" w:color="auto" w:fill="FFFFFF"/>
              </w:rPr>
              <w:t>把握党在不同时期应对挑战、制定策略的理论依据和实践路径</w:t>
            </w:r>
            <w:r>
              <w:rPr>
                <w:rFonts w:hint="eastAsia" w:ascii="Segoe UI" w:hAnsi="Segoe UI" w:cs="Segoe UI"/>
                <w:color w:val="1B1C21"/>
                <w:spacing w:val="8"/>
                <w:kern w:val="0"/>
                <w:sz w:val="20"/>
                <w:shd w:val="clear" w:color="auto" w:fill="FFFFFF"/>
              </w:rPr>
              <w:t>。</w:t>
            </w:r>
            <w:r>
              <w:rPr>
                <w:rFonts w:ascii="Segoe UI" w:hAnsi="Segoe UI" w:cs="Segoe UI"/>
                <w:color w:val="1B1C21"/>
                <w:spacing w:val="8"/>
                <w:kern w:val="0"/>
                <w:sz w:val="20"/>
                <w:shd w:val="clear" w:color="auto" w:fill="FFFFFF"/>
              </w:rPr>
              <w:t>揭示马克思主义与中国实际相结合的理论逻辑，明确“中国共产党为什么能”“马克思主义为什么行”的历史必然性</w:t>
            </w:r>
            <w:r>
              <w:rPr>
                <w:rFonts w:hint="eastAsia" w:ascii="Segoe UI" w:hAnsi="Segoe UI" w:cs="Segoe UI"/>
                <w:color w:val="1B1C21"/>
                <w:spacing w:val="8"/>
                <w:kern w:val="0"/>
                <w:sz w:val="20"/>
                <w:shd w:val="clear" w:color="auto" w:fill="FFFFFF"/>
              </w:rPr>
              <w:t>。</w:t>
            </w:r>
          </w:p>
        </w:tc>
        <w:tc>
          <w:tcPr>
            <w:tcW w:w="2268" w:type="dxa"/>
            <w:vAlign w:val="center"/>
          </w:tcPr>
          <w:p w14:paraId="1A2D0EC9">
            <w:pPr>
              <w:adjustRightInd w:val="0"/>
              <w:snapToGrid w:val="0"/>
              <w:rPr>
                <w:kern w:val="0"/>
                <w:sz w:val="20"/>
              </w:rPr>
            </w:pPr>
            <w:r>
              <w:rPr>
                <w:rFonts w:hint="eastAsia"/>
                <w:kern w:val="0"/>
                <w:sz w:val="20"/>
              </w:rPr>
              <w:t>主要讲授党的历史发展主线与阶段划分、马克思主义中国化的理论创新、党的自身建设与治理实践、精神谱系与价值观塑造、历史经验与现实启示等内容。</w:t>
            </w:r>
          </w:p>
        </w:tc>
        <w:tc>
          <w:tcPr>
            <w:tcW w:w="2544" w:type="dxa"/>
            <w:vAlign w:val="center"/>
          </w:tcPr>
          <w:p w14:paraId="3304F0AE">
            <w:pPr>
              <w:adjustRightInd w:val="0"/>
              <w:snapToGrid w:val="0"/>
              <w:rPr>
                <w:kern w:val="0"/>
                <w:sz w:val="20"/>
              </w:rPr>
            </w:pPr>
            <w:r>
              <w:rPr>
                <w:rFonts w:hint="eastAsia" w:ascii="宋体" w:hAnsi="宋体"/>
                <w:b/>
                <w:bCs/>
                <w:kern w:val="0"/>
                <w:sz w:val="20"/>
                <w:szCs w:val="21"/>
              </w:rPr>
              <w:t>教师要求：</w:t>
            </w:r>
            <w:r>
              <w:rPr>
                <w:kern w:val="0"/>
                <w:sz w:val="20"/>
              </w:rPr>
              <w:t>教师有理论思政和实践思政授课经验，能够熟练运用网络平台开展线上线下辅助教学，能综合运用数字新媒体赋能思政课程。</w:t>
            </w:r>
          </w:p>
          <w:p w14:paraId="4D9CF828">
            <w:pPr>
              <w:adjustRightInd w:val="0"/>
              <w:snapToGrid w:val="0"/>
              <w:rPr>
                <w:rFonts w:ascii="宋体" w:hAnsi="宋体"/>
                <w:b/>
                <w:bCs/>
                <w:kern w:val="0"/>
                <w:sz w:val="20"/>
                <w:szCs w:val="21"/>
              </w:rPr>
            </w:pPr>
            <w:r>
              <w:rPr>
                <w:rFonts w:hint="eastAsia"/>
                <w:b/>
                <w:bCs/>
                <w:kern w:val="0"/>
                <w:sz w:val="20"/>
              </w:rPr>
              <w:t>学生要求：</w:t>
            </w:r>
            <w:r>
              <w:rPr>
                <w:kern w:val="0"/>
                <w:sz w:val="20"/>
              </w:rPr>
              <w:t>具备基本的理论常识和政治素养，能够清楚沟通表达，可以参与分工与协作</w:t>
            </w:r>
            <w:r>
              <w:rPr>
                <w:rFonts w:hint="eastAsia"/>
                <w:kern w:val="0"/>
                <w:sz w:val="20"/>
              </w:rPr>
              <w:t>。</w:t>
            </w:r>
          </w:p>
        </w:tc>
      </w:tr>
      <w:tr w14:paraId="0D7A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702CC246">
            <w:pPr>
              <w:adjustRightInd w:val="0"/>
              <w:snapToGrid w:val="0"/>
              <w:jc w:val="center"/>
              <w:rPr>
                <w:rFonts w:ascii="宋体" w:hAnsi="宋体"/>
                <w:kern w:val="0"/>
                <w:sz w:val="20"/>
                <w:szCs w:val="21"/>
              </w:rPr>
            </w:pPr>
            <w:r>
              <w:rPr>
                <w:rFonts w:hint="eastAsia" w:ascii="宋体" w:hAnsi="宋体"/>
                <w:kern w:val="0"/>
                <w:sz w:val="20"/>
                <w:szCs w:val="21"/>
              </w:rPr>
              <w:t>中华优秀传统文化</w:t>
            </w:r>
          </w:p>
        </w:tc>
        <w:tc>
          <w:tcPr>
            <w:tcW w:w="709" w:type="dxa"/>
            <w:vAlign w:val="center"/>
          </w:tcPr>
          <w:p w14:paraId="0025F371">
            <w:pPr>
              <w:adjustRightInd w:val="0"/>
              <w:snapToGrid w:val="0"/>
              <w:jc w:val="center"/>
              <w:rPr>
                <w:rFonts w:ascii="宋体" w:hAnsi="宋体"/>
                <w:kern w:val="0"/>
                <w:sz w:val="20"/>
                <w:szCs w:val="21"/>
              </w:rPr>
            </w:pPr>
            <w:r>
              <w:rPr>
                <w:rFonts w:hint="eastAsia" w:ascii="宋体" w:hAnsi="宋体"/>
                <w:kern w:val="0"/>
                <w:sz w:val="20"/>
                <w:szCs w:val="21"/>
              </w:rPr>
              <w:t>1</w:t>
            </w:r>
            <w:r>
              <w:rPr>
                <w:rFonts w:ascii="宋体" w:hAnsi="宋体"/>
                <w:kern w:val="0"/>
                <w:sz w:val="20"/>
                <w:szCs w:val="21"/>
              </w:rPr>
              <w:t>6</w:t>
            </w:r>
          </w:p>
        </w:tc>
        <w:tc>
          <w:tcPr>
            <w:tcW w:w="2268" w:type="dxa"/>
            <w:vAlign w:val="center"/>
          </w:tcPr>
          <w:p w14:paraId="4AF8DAD7">
            <w:pPr>
              <w:adjustRightInd w:val="0"/>
              <w:snapToGrid w:val="0"/>
              <w:rPr>
                <w:kern w:val="0"/>
                <w:sz w:val="20"/>
              </w:rPr>
            </w:pPr>
            <w:r>
              <w:rPr>
                <w:rFonts w:hint="eastAsia"/>
                <w:kern w:val="0"/>
                <w:sz w:val="20"/>
              </w:rPr>
              <w:t>使学生掌握中国传统文化读解的方法：分别从传统文化影响力的视角、文化的研究等角度对中国传统文化进行深入的分析，以此增强学生学习中国传统文化的能力和水平，加深对中国传统文化的了解，培养学生审美情趣，开拓学生视野，提高学生的文化艺术修养。</w:t>
            </w:r>
          </w:p>
        </w:tc>
        <w:tc>
          <w:tcPr>
            <w:tcW w:w="2268" w:type="dxa"/>
            <w:vAlign w:val="center"/>
          </w:tcPr>
          <w:p w14:paraId="47F04B10">
            <w:pPr>
              <w:adjustRightInd w:val="0"/>
              <w:snapToGrid w:val="0"/>
              <w:rPr>
                <w:kern w:val="0"/>
                <w:sz w:val="20"/>
              </w:rPr>
            </w:pPr>
            <w:r>
              <w:rPr>
                <w:rFonts w:hint="eastAsia" w:ascii="@宋体" w:hAnsi="@宋体"/>
                <w:kern w:val="0"/>
                <w:sz w:val="20"/>
                <w:szCs w:val="21"/>
              </w:rPr>
              <w:t>主要讲授中国传统文化概述、中国传统哲学、中国古代教育、中国传统文学，中国古代科学技术、中国传统艺术、中国传统生活方式等内容。</w:t>
            </w:r>
          </w:p>
        </w:tc>
        <w:tc>
          <w:tcPr>
            <w:tcW w:w="2544" w:type="dxa"/>
            <w:vAlign w:val="center"/>
          </w:tcPr>
          <w:p w14:paraId="0EBB7D11">
            <w:pPr>
              <w:adjustRightInd w:val="0"/>
              <w:snapToGrid w:val="0"/>
              <w:rPr>
                <w:kern w:val="0"/>
                <w:sz w:val="20"/>
              </w:rPr>
            </w:pPr>
            <w:r>
              <w:rPr>
                <w:rFonts w:hint="eastAsia" w:ascii="宋体" w:hAnsi="宋体"/>
                <w:b/>
                <w:bCs/>
                <w:kern w:val="0"/>
                <w:sz w:val="20"/>
                <w:szCs w:val="21"/>
              </w:rPr>
              <w:t>教师要求：</w:t>
            </w:r>
            <w:r>
              <w:rPr>
                <w:kern w:val="0"/>
                <w:sz w:val="20"/>
              </w:rPr>
              <w:t>教师有理论思政和实践思政授课经验，能够熟练运用网络平台开展线上线下辅助教学，能综合运用数字新媒体赋能思政课程。</w:t>
            </w:r>
          </w:p>
          <w:p w14:paraId="687C8EAF">
            <w:pPr>
              <w:adjustRightInd w:val="0"/>
              <w:snapToGrid w:val="0"/>
              <w:rPr>
                <w:rFonts w:ascii="宋体" w:hAnsi="宋体"/>
                <w:b/>
                <w:bCs/>
                <w:kern w:val="0"/>
                <w:sz w:val="20"/>
                <w:szCs w:val="21"/>
              </w:rPr>
            </w:pPr>
            <w:r>
              <w:rPr>
                <w:rFonts w:hint="eastAsia"/>
                <w:b/>
                <w:bCs/>
                <w:kern w:val="0"/>
                <w:sz w:val="20"/>
              </w:rPr>
              <w:t>学生要求：</w:t>
            </w:r>
            <w:r>
              <w:rPr>
                <w:kern w:val="0"/>
                <w:sz w:val="20"/>
              </w:rPr>
              <w:t>具备基本的理论常识和政治素养，能够清楚沟通表达，可以参与分工与协作</w:t>
            </w:r>
            <w:r>
              <w:rPr>
                <w:rFonts w:hint="eastAsia"/>
                <w:kern w:val="0"/>
                <w:sz w:val="20"/>
              </w:rPr>
              <w:t>。</w:t>
            </w:r>
          </w:p>
        </w:tc>
      </w:tr>
    </w:tbl>
    <w:p w14:paraId="05D20F7E">
      <w:pPr>
        <w:adjustRightInd w:val="0"/>
        <w:snapToGrid w:val="0"/>
        <w:spacing w:line="480" w:lineRule="exact"/>
        <w:ind w:firstLine="480" w:firstLineChars="200"/>
        <w:rPr>
          <w:rFonts w:ascii="楷体" w:hAnsi="楷体" w:eastAsia="楷体"/>
          <w:sz w:val="24"/>
        </w:rPr>
      </w:pPr>
      <w:r>
        <w:rPr>
          <w:rFonts w:hint="eastAsia" w:ascii="楷体" w:hAnsi="楷体" w:eastAsia="楷体"/>
          <w:sz w:val="24"/>
        </w:rPr>
        <w:t>（四）专业课程</w:t>
      </w:r>
    </w:p>
    <w:p w14:paraId="36B7B831">
      <w:pPr>
        <w:pStyle w:val="3"/>
        <w:spacing w:line="220" w:lineRule="auto"/>
        <w:ind w:left="346"/>
        <w:rPr>
          <w:rFonts w:hint="eastAsia" w:ascii="宋体" w:hAnsi="宋体" w:eastAsia="宋体" w:cs="Times New Roman"/>
          <w:color w:val="000000" w:themeColor="text1"/>
          <w:kern w:val="0"/>
          <w:sz w:val="24"/>
          <w:szCs w:val="22"/>
          <w:lang w:val="en-US" w:eastAsia="zh-CN" w:bidi="ar-SA"/>
          <w14:textFill>
            <w14:solidFill>
              <w14:schemeClr w14:val="tx1"/>
            </w14:solidFill>
          </w14:textFill>
        </w:rPr>
      </w:pPr>
      <w:r>
        <w:rPr>
          <w:rFonts w:hint="eastAsia" w:ascii="Times New Roman" w:hAnsi="Times New Roman" w:cs="Times New Roman"/>
          <w:kern w:val="2"/>
          <w:sz w:val="21"/>
          <w:szCs w:val="24"/>
          <w:lang w:val="en-US" w:eastAsia="zh-CN" w:bidi="ar-SA"/>
        </w:rPr>
        <w:t xml:space="preserve">   </w:t>
      </w:r>
      <w:r>
        <w:rPr>
          <w:rFonts w:hint="eastAsia" w:ascii="宋体" w:hAnsi="宋体" w:eastAsia="宋体" w:cs="Times New Roman"/>
          <w:color w:val="000000" w:themeColor="text1"/>
          <w:kern w:val="0"/>
          <w:sz w:val="24"/>
          <w:szCs w:val="22"/>
          <w:lang w:val="en-US" w:eastAsia="zh-CN" w:bidi="ar-SA"/>
          <w14:textFill>
            <w14:solidFill>
              <w14:schemeClr w14:val="tx1"/>
            </w14:solidFill>
          </w14:textFill>
        </w:rPr>
        <w:t>专业课程包括专业基础课和专业核心课。专业基础课程主要包括：经济学原理、经济法基础、统计基础、会计基础、出纳业务操作、经济法基础、大数据技术应用基础、python财务基础等课程。专业核心课程主要包括：企业财务会计、智能化成本核算与管理、智慧化税费申报与管理、会计信息系统应用、管理会计实务、大数据技术在财务中的应用、财务大数据分析等课程。</w:t>
      </w:r>
    </w:p>
    <w:p w14:paraId="6DD449D3">
      <w:pPr>
        <w:adjustRightInd w:val="0"/>
        <w:snapToGrid w:val="0"/>
        <w:spacing w:line="480" w:lineRule="exact"/>
        <w:ind w:firstLine="480" w:firstLineChars="200"/>
        <w:rPr>
          <w:rFonts w:ascii="宋体" w:hAnsi="宋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专业课程描述如下：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09"/>
        <w:gridCol w:w="2268"/>
        <w:gridCol w:w="2268"/>
        <w:gridCol w:w="2544"/>
      </w:tblGrid>
      <w:tr w14:paraId="5B9C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vAlign w:val="center"/>
          </w:tcPr>
          <w:p w14:paraId="6A6DD681">
            <w:pPr>
              <w:adjustRightInd w:val="0"/>
              <w:snapToGrid w:val="0"/>
              <w:jc w:val="center"/>
              <w:rPr>
                <w:rFonts w:ascii="宋体" w:hAnsi="宋体"/>
                <w:b/>
                <w:bCs/>
                <w:kern w:val="0"/>
                <w:sz w:val="21"/>
                <w:szCs w:val="21"/>
              </w:rPr>
            </w:pPr>
            <w:r>
              <w:rPr>
                <w:rFonts w:hint="eastAsia" w:ascii="宋体" w:hAnsi="宋体"/>
                <w:b/>
                <w:bCs/>
                <w:kern w:val="0"/>
                <w:sz w:val="21"/>
                <w:szCs w:val="21"/>
              </w:rPr>
              <w:t>课程名称</w:t>
            </w:r>
          </w:p>
        </w:tc>
        <w:tc>
          <w:tcPr>
            <w:tcW w:w="709" w:type="dxa"/>
            <w:vAlign w:val="center"/>
          </w:tcPr>
          <w:p w14:paraId="12CAFDDD">
            <w:pPr>
              <w:adjustRightInd w:val="0"/>
              <w:snapToGrid w:val="0"/>
              <w:jc w:val="center"/>
              <w:rPr>
                <w:rFonts w:ascii="宋体" w:hAnsi="宋体"/>
                <w:b/>
                <w:bCs/>
                <w:kern w:val="0"/>
                <w:sz w:val="21"/>
                <w:szCs w:val="21"/>
              </w:rPr>
            </w:pPr>
            <w:r>
              <w:rPr>
                <w:rFonts w:hint="eastAsia" w:ascii="宋体" w:hAnsi="宋体"/>
                <w:b/>
                <w:bCs/>
                <w:kern w:val="0"/>
                <w:sz w:val="21"/>
                <w:szCs w:val="21"/>
              </w:rPr>
              <w:t>教学时数</w:t>
            </w:r>
          </w:p>
        </w:tc>
        <w:tc>
          <w:tcPr>
            <w:tcW w:w="2268" w:type="dxa"/>
            <w:vAlign w:val="center"/>
          </w:tcPr>
          <w:p w14:paraId="1079C973">
            <w:pPr>
              <w:adjustRightInd w:val="0"/>
              <w:snapToGrid w:val="0"/>
              <w:jc w:val="center"/>
              <w:rPr>
                <w:rFonts w:ascii="宋体" w:hAnsi="宋体"/>
                <w:b/>
                <w:bCs/>
                <w:kern w:val="0"/>
                <w:sz w:val="21"/>
                <w:szCs w:val="21"/>
              </w:rPr>
            </w:pPr>
            <w:r>
              <w:rPr>
                <w:rFonts w:hint="eastAsia" w:ascii="宋体" w:hAnsi="宋体"/>
                <w:b/>
                <w:bCs/>
                <w:kern w:val="0"/>
                <w:sz w:val="21"/>
                <w:szCs w:val="21"/>
              </w:rPr>
              <w:t>课程目标</w:t>
            </w:r>
          </w:p>
        </w:tc>
        <w:tc>
          <w:tcPr>
            <w:tcW w:w="2268" w:type="dxa"/>
            <w:vAlign w:val="center"/>
          </w:tcPr>
          <w:p w14:paraId="2B32032A">
            <w:pPr>
              <w:adjustRightInd w:val="0"/>
              <w:snapToGrid w:val="0"/>
              <w:jc w:val="center"/>
              <w:rPr>
                <w:rFonts w:ascii="宋体" w:hAnsi="宋体"/>
                <w:b/>
                <w:bCs/>
                <w:kern w:val="0"/>
                <w:sz w:val="21"/>
                <w:szCs w:val="21"/>
              </w:rPr>
            </w:pPr>
            <w:r>
              <w:rPr>
                <w:rFonts w:hint="eastAsia" w:ascii="宋体" w:hAnsi="宋体"/>
                <w:b/>
                <w:bCs/>
                <w:kern w:val="0"/>
                <w:sz w:val="21"/>
                <w:szCs w:val="21"/>
              </w:rPr>
              <w:t>教学内容</w:t>
            </w:r>
          </w:p>
        </w:tc>
        <w:tc>
          <w:tcPr>
            <w:tcW w:w="2544" w:type="dxa"/>
            <w:vAlign w:val="center"/>
          </w:tcPr>
          <w:p w14:paraId="38B0398D">
            <w:pPr>
              <w:adjustRightInd w:val="0"/>
              <w:snapToGrid w:val="0"/>
              <w:jc w:val="center"/>
              <w:rPr>
                <w:rFonts w:ascii="宋体" w:hAnsi="宋体"/>
                <w:b/>
                <w:bCs/>
                <w:kern w:val="0"/>
                <w:sz w:val="21"/>
                <w:szCs w:val="21"/>
              </w:rPr>
            </w:pPr>
            <w:r>
              <w:rPr>
                <w:rFonts w:hint="eastAsia" w:ascii="宋体" w:hAnsi="宋体"/>
                <w:b/>
                <w:bCs/>
                <w:kern w:val="0"/>
                <w:sz w:val="21"/>
                <w:szCs w:val="21"/>
              </w:rPr>
              <w:t>教学要求</w:t>
            </w:r>
          </w:p>
        </w:tc>
      </w:tr>
      <w:tr w14:paraId="1FAA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vAlign w:val="center"/>
          </w:tcPr>
          <w:p w14:paraId="785BDB11">
            <w:pPr>
              <w:adjustRightInd w:val="0"/>
              <w:snapToGrid w:val="0"/>
              <w:jc w:val="center"/>
              <w:rPr>
                <w:rFonts w:hint="eastAsia" w:ascii="宋体" w:hAnsi="宋体" w:eastAsia="宋体"/>
                <w:kern w:val="0"/>
                <w:sz w:val="20"/>
                <w:szCs w:val="21"/>
                <w:lang w:val="en-US" w:eastAsia="zh-CN"/>
              </w:rPr>
            </w:pPr>
            <w:r>
              <w:rPr>
                <w:rFonts w:hint="eastAsia" w:ascii="宋体" w:hAnsi="宋体"/>
                <w:kern w:val="0"/>
                <w:sz w:val="20"/>
                <w:szCs w:val="21"/>
                <w:lang w:val="en-US" w:eastAsia="zh-CN"/>
              </w:rPr>
              <w:t>经济学基础</w:t>
            </w:r>
          </w:p>
        </w:tc>
        <w:tc>
          <w:tcPr>
            <w:tcW w:w="709" w:type="dxa"/>
            <w:vAlign w:val="center"/>
          </w:tcPr>
          <w:p w14:paraId="76F02305">
            <w:pPr>
              <w:adjustRightInd w:val="0"/>
              <w:snapToGrid w:val="0"/>
              <w:jc w:val="center"/>
              <w:rPr>
                <w:rFonts w:ascii="宋体" w:hAnsi="宋体"/>
                <w:kern w:val="0"/>
                <w:sz w:val="20"/>
                <w:szCs w:val="21"/>
              </w:rPr>
            </w:pPr>
            <w:r>
              <w:rPr>
                <w:rFonts w:ascii="宋体" w:hAnsi="宋体"/>
                <w:kern w:val="0"/>
                <w:sz w:val="20"/>
                <w:szCs w:val="21"/>
              </w:rPr>
              <w:t>64</w:t>
            </w:r>
          </w:p>
        </w:tc>
        <w:tc>
          <w:tcPr>
            <w:tcW w:w="2268" w:type="dxa"/>
            <w:vAlign w:val="center"/>
          </w:tcPr>
          <w:p w14:paraId="757C5CCA">
            <w:pPr>
              <w:adjustRightInd w:val="0"/>
              <w:snapToGrid w:val="0"/>
              <w:rPr>
                <w:rFonts w:ascii="宋体" w:hAnsi="宋体"/>
                <w:kern w:val="0"/>
                <w:sz w:val="20"/>
                <w:szCs w:val="21"/>
              </w:rPr>
            </w:pPr>
            <w:r>
              <w:rPr>
                <w:rFonts w:ascii="宋体" w:hAnsi="宋体"/>
                <w:kern w:val="0"/>
                <w:sz w:val="20"/>
                <w:szCs w:val="21"/>
              </w:rPr>
              <w:t>使学生掌握经济学基本概念与分析方法，理解市场运行机制及宏观经济现象，培养经济思维，能够从经济学视角分析企业经营管理问题。</w:t>
            </w:r>
          </w:p>
        </w:tc>
        <w:tc>
          <w:tcPr>
            <w:tcW w:w="2268" w:type="dxa"/>
            <w:vAlign w:val="center"/>
          </w:tcPr>
          <w:p w14:paraId="3F00B9D4">
            <w:pPr>
              <w:adjustRightInd w:val="0"/>
              <w:snapToGrid w:val="0"/>
              <w:rPr>
                <w:rFonts w:ascii="宋体" w:hAnsi="宋体"/>
                <w:kern w:val="0"/>
                <w:sz w:val="20"/>
                <w:szCs w:val="21"/>
              </w:rPr>
            </w:pPr>
            <w:r>
              <w:rPr>
                <w:rFonts w:hint="eastAsia" w:ascii="宋体" w:hAnsi="宋体"/>
                <w:kern w:val="0"/>
                <w:sz w:val="20"/>
                <w:szCs w:val="21"/>
              </w:rPr>
              <w:t>主要讲授供需理论、消费者行为、生产者成本与收益、市场结构（完全竞争、垄断等）、宏观经济指标（GDP、失业、通货膨胀）、财政政策与货币政策等基本内容。</w:t>
            </w:r>
          </w:p>
        </w:tc>
        <w:tc>
          <w:tcPr>
            <w:tcW w:w="2544" w:type="dxa"/>
            <w:vAlign w:val="center"/>
          </w:tcPr>
          <w:p w14:paraId="3D304A66">
            <w:pPr>
              <w:adjustRightInd w:val="0"/>
              <w:snapToGrid w:val="0"/>
              <w:rPr>
                <w:kern w:val="0"/>
                <w:sz w:val="20"/>
              </w:rPr>
            </w:pPr>
            <w:r>
              <w:rPr>
                <w:rFonts w:hint="eastAsia" w:ascii="宋体" w:hAnsi="宋体"/>
                <w:b/>
                <w:bCs/>
                <w:kern w:val="0"/>
                <w:sz w:val="20"/>
                <w:szCs w:val="21"/>
              </w:rPr>
              <w:t>教师要求：</w:t>
            </w:r>
            <w:r>
              <w:rPr>
                <w:kern w:val="0"/>
                <w:sz w:val="20"/>
              </w:rPr>
              <w:t>具备扎实的经济学理论功底，能结合现实经济案例进行讲解。</w:t>
            </w:r>
          </w:p>
          <w:p w14:paraId="19E5CB04">
            <w:pPr>
              <w:adjustRightInd w:val="0"/>
              <w:snapToGrid w:val="0"/>
              <w:rPr>
                <w:rFonts w:ascii="宋体" w:hAnsi="宋体"/>
                <w:kern w:val="0"/>
                <w:sz w:val="20"/>
                <w:szCs w:val="21"/>
              </w:rPr>
            </w:pPr>
            <w:r>
              <w:rPr>
                <w:rFonts w:hint="eastAsia"/>
                <w:b/>
                <w:bCs/>
                <w:kern w:val="0"/>
                <w:sz w:val="20"/>
              </w:rPr>
              <w:t>学生要求：</w:t>
            </w:r>
            <w:r>
              <w:rPr>
                <w:rFonts w:hint="eastAsia" w:ascii="宋体" w:hAnsi="宋体"/>
                <w:kern w:val="0"/>
                <w:sz w:val="20"/>
                <w:szCs w:val="21"/>
              </w:rPr>
              <w:t>主动思考，积极参与课堂讨论，能运用基本原理分析简单经济问题。</w:t>
            </w:r>
          </w:p>
        </w:tc>
      </w:tr>
      <w:tr w14:paraId="0296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shd w:val="clear" w:color="auto" w:fill="auto"/>
            <w:vAlign w:val="center"/>
          </w:tcPr>
          <w:p w14:paraId="412FB83B">
            <w:pPr>
              <w:adjustRightInd w:val="0"/>
              <w:snapToGrid w:val="0"/>
              <w:jc w:val="center"/>
              <w:rPr>
                <w:rFonts w:hint="eastAsia" w:ascii="宋体" w:hAnsi="宋体" w:eastAsia="宋体" w:cs="Times New Roman"/>
                <w:kern w:val="0"/>
                <w:sz w:val="20"/>
                <w:szCs w:val="21"/>
                <w:lang w:val="en-US" w:eastAsia="zh-CN" w:bidi="ar-SA"/>
              </w:rPr>
            </w:pPr>
            <w:r>
              <w:rPr>
                <w:rFonts w:ascii="宋体" w:hAnsi="宋体"/>
                <w:kern w:val="0"/>
                <w:sz w:val="20"/>
                <w:szCs w:val="21"/>
              </w:rPr>
              <w:t>管理学基础</w:t>
            </w:r>
          </w:p>
        </w:tc>
        <w:tc>
          <w:tcPr>
            <w:tcW w:w="709" w:type="dxa"/>
            <w:shd w:val="clear" w:color="auto" w:fill="auto"/>
            <w:vAlign w:val="center"/>
          </w:tcPr>
          <w:p w14:paraId="75EC848D">
            <w:pPr>
              <w:adjustRightInd w:val="0"/>
              <w:snapToGrid w:val="0"/>
              <w:jc w:val="center"/>
              <w:rPr>
                <w:rFonts w:hint="eastAsia" w:ascii="宋体" w:hAnsi="宋体" w:eastAsia="宋体" w:cs="Times New Roman"/>
                <w:kern w:val="0"/>
                <w:sz w:val="20"/>
                <w:szCs w:val="21"/>
                <w:lang w:val="en-US" w:eastAsia="zh-CN" w:bidi="ar-SA"/>
              </w:rPr>
            </w:pPr>
            <w:r>
              <w:rPr>
                <w:rFonts w:ascii="宋体" w:hAnsi="宋体"/>
                <w:kern w:val="0"/>
                <w:sz w:val="20"/>
                <w:szCs w:val="21"/>
              </w:rPr>
              <w:t>72</w:t>
            </w:r>
          </w:p>
        </w:tc>
        <w:tc>
          <w:tcPr>
            <w:tcW w:w="2268" w:type="dxa"/>
            <w:shd w:val="clear" w:color="auto" w:fill="auto"/>
            <w:vAlign w:val="center"/>
          </w:tcPr>
          <w:p w14:paraId="37E0A67B">
            <w:pPr>
              <w:adjustRightInd w:val="0"/>
              <w:snapToGrid w:val="0"/>
              <w:rPr>
                <w:rFonts w:ascii="Times New Roman" w:hAnsi="Times New Roman" w:eastAsia="宋体" w:cs="Times New Roman"/>
                <w:kern w:val="0"/>
                <w:sz w:val="20"/>
                <w:szCs w:val="24"/>
                <w:lang w:val="en-US" w:eastAsia="zh-CN" w:bidi="ar-SA"/>
              </w:rPr>
            </w:pPr>
            <w:r>
              <w:rPr>
                <w:kern w:val="0"/>
                <w:sz w:val="20"/>
              </w:rPr>
              <w:t>使学生掌握管理学的基本原理、概念和方法，了解管理的各项职能（计划、组织、领导、控制），培养作为管理者的基本素质和系统思维，为后续专业课程学习和职业发展打下基础。</w:t>
            </w:r>
          </w:p>
        </w:tc>
        <w:tc>
          <w:tcPr>
            <w:tcW w:w="2268" w:type="dxa"/>
            <w:shd w:val="clear" w:color="auto" w:fill="auto"/>
            <w:vAlign w:val="center"/>
          </w:tcPr>
          <w:p w14:paraId="0ED38E26">
            <w:pPr>
              <w:adjustRightInd w:val="0"/>
              <w:snapToGrid w:val="0"/>
              <w:rPr>
                <w:rFonts w:ascii="Times New Roman" w:hAnsi="Times New Roman" w:eastAsia="宋体" w:cs="Times New Roman"/>
                <w:kern w:val="0"/>
                <w:sz w:val="20"/>
                <w:szCs w:val="24"/>
                <w:lang w:val="en-US" w:eastAsia="zh-CN" w:bidi="ar-SA"/>
              </w:rPr>
            </w:pPr>
            <w:r>
              <w:rPr>
                <w:kern w:val="0"/>
                <w:sz w:val="20"/>
              </w:rPr>
              <w:t>主要讲授管理思想的发展、管理环境分析、决策、计划、组织设计、人力资源管理、领导、激励、沟通、控制等基本职能。</w:t>
            </w:r>
          </w:p>
        </w:tc>
        <w:tc>
          <w:tcPr>
            <w:tcW w:w="2544" w:type="dxa"/>
            <w:shd w:val="clear" w:color="auto" w:fill="auto"/>
            <w:vAlign w:val="center"/>
          </w:tcPr>
          <w:p w14:paraId="6D65CAB6">
            <w:pPr>
              <w:adjustRightInd w:val="0"/>
              <w:snapToGrid w:val="0"/>
              <w:rPr>
                <w:kern w:val="0"/>
                <w:sz w:val="20"/>
              </w:rPr>
            </w:pPr>
            <w:r>
              <w:rPr>
                <w:rFonts w:hint="eastAsia" w:ascii="宋体" w:hAnsi="宋体"/>
                <w:b/>
                <w:bCs/>
                <w:kern w:val="0"/>
                <w:sz w:val="20"/>
                <w:szCs w:val="21"/>
              </w:rPr>
              <w:t>教师要求：</w:t>
            </w:r>
            <w:r>
              <w:rPr>
                <w:kern w:val="0"/>
                <w:sz w:val="20"/>
              </w:rPr>
              <w:t>具有扎实的管理学理论知识和一定的企业管理实践经验。</w:t>
            </w:r>
          </w:p>
          <w:p w14:paraId="7F30BE70">
            <w:pPr>
              <w:adjustRightInd w:val="0"/>
              <w:snapToGrid w:val="0"/>
              <w:rPr>
                <w:rFonts w:hint="eastAsia" w:ascii="宋体" w:hAnsi="宋体" w:eastAsia="宋体" w:cs="Times New Roman"/>
                <w:b/>
                <w:bCs/>
                <w:kern w:val="0"/>
                <w:sz w:val="20"/>
                <w:szCs w:val="21"/>
                <w:lang w:val="en-US" w:eastAsia="zh-CN" w:bidi="ar-SA"/>
              </w:rPr>
            </w:pPr>
            <w:r>
              <w:rPr>
                <w:rFonts w:hint="eastAsia"/>
                <w:b/>
                <w:bCs/>
                <w:kern w:val="0"/>
                <w:sz w:val="20"/>
              </w:rPr>
              <w:t>学生要求：</w:t>
            </w:r>
            <w:r>
              <w:rPr>
                <w:kern w:val="0"/>
                <w:sz w:val="20"/>
              </w:rPr>
              <w:t>积极参与案例讨论，能够运用管理学理论分析并解决简单的管理问题</w:t>
            </w:r>
            <w:r>
              <w:rPr>
                <w:rFonts w:hint="eastAsia"/>
                <w:kern w:val="0"/>
                <w:sz w:val="20"/>
              </w:rPr>
              <w:t>。</w:t>
            </w:r>
          </w:p>
        </w:tc>
      </w:tr>
      <w:tr w14:paraId="4673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vAlign w:val="center"/>
          </w:tcPr>
          <w:p w14:paraId="543E3F20">
            <w:pPr>
              <w:adjustRightInd w:val="0"/>
              <w:snapToGrid w:val="0"/>
              <w:jc w:val="center"/>
              <w:rPr>
                <w:rFonts w:hint="eastAsia" w:ascii="宋体" w:hAnsi="宋体" w:eastAsia="宋体"/>
                <w:kern w:val="0"/>
                <w:sz w:val="20"/>
                <w:szCs w:val="21"/>
                <w:lang w:val="en-US" w:eastAsia="zh-CN"/>
              </w:rPr>
            </w:pPr>
            <w:r>
              <w:rPr>
                <w:rFonts w:hint="eastAsia" w:ascii="宋体" w:hAnsi="宋体"/>
                <w:kern w:val="0"/>
                <w:sz w:val="20"/>
                <w:szCs w:val="21"/>
                <w:lang w:val="en-US" w:eastAsia="zh-CN"/>
              </w:rPr>
              <w:t>经济法基础</w:t>
            </w:r>
          </w:p>
        </w:tc>
        <w:tc>
          <w:tcPr>
            <w:tcW w:w="709" w:type="dxa"/>
            <w:vAlign w:val="center"/>
          </w:tcPr>
          <w:p w14:paraId="7308A216">
            <w:pPr>
              <w:adjustRightInd w:val="0"/>
              <w:snapToGrid w:val="0"/>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72</w:t>
            </w:r>
          </w:p>
        </w:tc>
        <w:tc>
          <w:tcPr>
            <w:tcW w:w="2268" w:type="dxa"/>
            <w:vAlign w:val="center"/>
          </w:tcPr>
          <w:p w14:paraId="2D3F22AD">
            <w:pPr>
              <w:adjustRightInd w:val="0"/>
              <w:snapToGrid w:val="0"/>
              <w:rPr>
                <w:kern w:val="0"/>
                <w:sz w:val="20"/>
              </w:rPr>
            </w:pPr>
            <w:r>
              <w:rPr>
                <w:kern w:val="0"/>
                <w:sz w:val="20"/>
              </w:rPr>
              <w:t>使学生掌握与经济活动相关的基本法律知识，增强法律意识，具备识别和防范企业常见法律风险的能力，为从事财经工作奠定法律基础。</w:t>
            </w:r>
          </w:p>
        </w:tc>
        <w:tc>
          <w:tcPr>
            <w:tcW w:w="2268" w:type="dxa"/>
            <w:vAlign w:val="center"/>
          </w:tcPr>
          <w:p w14:paraId="6A2203E9">
            <w:pPr>
              <w:adjustRightInd w:val="0"/>
              <w:snapToGrid w:val="0"/>
              <w:rPr>
                <w:rFonts w:ascii="宋体" w:hAnsi="宋体"/>
                <w:kern w:val="0"/>
                <w:sz w:val="20"/>
                <w:szCs w:val="21"/>
              </w:rPr>
            </w:pPr>
            <w:r>
              <w:rPr>
                <w:rFonts w:ascii="宋体" w:hAnsi="宋体"/>
                <w:kern w:val="0"/>
                <w:sz w:val="20"/>
                <w:szCs w:val="21"/>
              </w:rPr>
              <w:t>主要讲授经济法律关系、</w:t>
            </w:r>
            <w:r>
              <w:rPr>
                <w:rFonts w:hint="eastAsia" w:ascii="宋体" w:hAnsi="宋体"/>
                <w:kern w:val="0"/>
                <w:sz w:val="20"/>
                <w:szCs w:val="21"/>
                <w:lang w:val="en-US" w:eastAsia="zh-CN"/>
              </w:rPr>
              <w:t>会计法律制度</w:t>
            </w:r>
            <w:r>
              <w:rPr>
                <w:rFonts w:ascii="宋体" w:hAnsi="宋体"/>
                <w:kern w:val="0"/>
                <w:sz w:val="20"/>
                <w:szCs w:val="21"/>
              </w:rPr>
              <w:t>、</w:t>
            </w:r>
            <w:r>
              <w:rPr>
                <w:rFonts w:hint="eastAsia" w:ascii="宋体" w:hAnsi="宋体"/>
                <w:kern w:val="0"/>
                <w:sz w:val="20"/>
                <w:szCs w:val="21"/>
                <w:lang w:val="en-US" w:eastAsia="zh-CN"/>
              </w:rPr>
              <w:t>劳动合同与社会保险</w:t>
            </w:r>
            <w:r>
              <w:rPr>
                <w:rFonts w:ascii="宋体" w:hAnsi="宋体"/>
                <w:kern w:val="0"/>
                <w:sz w:val="20"/>
                <w:szCs w:val="21"/>
              </w:rPr>
              <w:t>、票据法、</w:t>
            </w:r>
            <w:r>
              <w:rPr>
                <w:rFonts w:hint="eastAsia" w:ascii="宋体" w:hAnsi="宋体"/>
                <w:kern w:val="0"/>
                <w:sz w:val="20"/>
                <w:szCs w:val="21"/>
                <w:lang w:val="en-US" w:eastAsia="zh-CN"/>
              </w:rPr>
              <w:t>税收法律制度</w:t>
            </w:r>
            <w:r>
              <w:rPr>
                <w:rFonts w:ascii="宋体" w:hAnsi="宋体"/>
                <w:kern w:val="0"/>
                <w:sz w:val="20"/>
                <w:szCs w:val="21"/>
              </w:rPr>
              <w:t>、</w:t>
            </w:r>
            <w:r>
              <w:rPr>
                <w:rFonts w:hint="eastAsia" w:ascii="宋体" w:hAnsi="宋体"/>
                <w:kern w:val="0"/>
                <w:sz w:val="20"/>
                <w:szCs w:val="21"/>
                <w:lang w:val="en-US" w:eastAsia="zh-CN"/>
              </w:rPr>
              <w:t>合同法律制度</w:t>
            </w:r>
            <w:r>
              <w:rPr>
                <w:rFonts w:ascii="宋体" w:hAnsi="宋体"/>
                <w:kern w:val="0"/>
                <w:sz w:val="20"/>
                <w:szCs w:val="21"/>
              </w:rPr>
              <w:t>、消费者权益保护法等与企业经营密切相关的法律规范。</w:t>
            </w:r>
          </w:p>
        </w:tc>
        <w:tc>
          <w:tcPr>
            <w:tcW w:w="2544" w:type="dxa"/>
            <w:vAlign w:val="center"/>
          </w:tcPr>
          <w:p w14:paraId="7A01D83F">
            <w:pPr>
              <w:adjustRightInd w:val="0"/>
              <w:snapToGrid w:val="0"/>
              <w:rPr>
                <w:kern w:val="0"/>
                <w:sz w:val="20"/>
              </w:rPr>
            </w:pPr>
            <w:r>
              <w:rPr>
                <w:rFonts w:hint="eastAsia" w:ascii="宋体" w:hAnsi="宋体"/>
                <w:b/>
                <w:bCs/>
                <w:kern w:val="0"/>
                <w:sz w:val="20"/>
                <w:szCs w:val="21"/>
              </w:rPr>
              <w:t>教师要求：</w:t>
            </w:r>
            <w:r>
              <w:rPr>
                <w:rFonts w:hint="eastAsia"/>
                <w:kern w:val="0"/>
                <w:sz w:val="20"/>
              </w:rPr>
              <w:t>教师应具备法律职业资格或丰富实务经验，擅长案例教学。</w:t>
            </w:r>
          </w:p>
          <w:p w14:paraId="35FD0345">
            <w:pPr>
              <w:adjustRightInd w:val="0"/>
              <w:snapToGrid w:val="0"/>
              <w:rPr>
                <w:rFonts w:ascii="宋体" w:hAnsi="宋体"/>
                <w:kern w:val="0"/>
                <w:sz w:val="20"/>
                <w:szCs w:val="21"/>
              </w:rPr>
            </w:pPr>
            <w:r>
              <w:rPr>
                <w:rFonts w:hint="eastAsia"/>
                <w:b/>
                <w:bCs/>
                <w:kern w:val="0"/>
                <w:sz w:val="20"/>
              </w:rPr>
              <w:t>学生要求：</w:t>
            </w:r>
            <w:r>
              <w:rPr>
                <w:rFonts w:hint="eastAsia" w:ascii="宋体" w:hAnsi="宋体"/>
                <w:kern w:val="0"/>
                <w:sz w:val="20"/>
                <w:szCs w:val="21"/>
              </w:rPr>
              <w:t>理解记忆重要法律条文，能通过案例分析提升法律应用能力。</w:t>
            </w:r>
          </w:p>
        </w:tc>
      </w:tr>
      <w:tr w14:paraId="2C69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vAlign w:val="center"/>
          </w:tcPr>
          <w:p w14:paraId="134A4100">
            <w:pPr>
              <w:adjustRightInd w:val="0"/>
              <w:snapToGrid w:val="0"/>
              <w:jc w:val="center"/>
              <w:rPr>
                <w:rFonts w:hint="eastAsia" w:ascii="宋体" w:hAnsi="宋体" w:eastAsia="宋体"/>
                <w:kern w:val="0"/>
                <w:sz w:val="20"/>
                <w:szCs w:val="21"/>
                <w:lang w:val="en-US" w:eastAsia="zh-CN"/>
              </w:rPr>
            </w:pPr>
            <w:r>
              <w:rPr>
                <w:rFonts w:hint="eastAsia" w:ascii="宋体" w:hAnsi="宋体"/>
                <w:kern w:val="0"/>
                <w:sz w:val="20"/>
                <w:szCs w:val="21"/>
                <w:lang w:val="en-US" w:eastAsia="zh-CN"/>
              </w:rPr>
              <w:t>统计基础</w:t>
            </w:r>
          </w:p>
        </w:tc>
        <w:tc>
          <w:tcPr>
            <w:tcW w:w="709" w:type="dxa"/>
            <w:vAlign w:val="center"/>
          </w:tcPr>
          <w:p w14:paraId="22AC56C6">
            <w:pPr>
              <w:adjustRightInd w:val="0"/>
              <w:snapToGrid w:val="0"/>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72</w:t>
            </w:r>
          </w:p>
        </w:tc>
        <w:tc>
          <w:tcPr>
            <w:tcW w:w="2268" w:type="dxa"/>
            <w:vAlign w:val="center"/>
          </w:tcPr>
          <w:p w14:paraId="48899F21">
            <w:pPr>
              <w:adjustRightInd w:val="0"/>
              <w:snapToGrid w:val="0"/>
              <w:rPr>
                <w:kern w:val="0"/>
                <w:sz w:val="20"/>
              </w:rPr>
            </w:pPr>
            <w:r>
              <w:rPr>
                <w:kern w:val="0"/>
                <w:sz w:val="20"/>
              </w:rPr>
              <w:t>使学生掌握统计学的基本概念、原理和方法，具备数据收集、整理、分析和解释的基本能力，为后续财务大数据分析课程奠定基础。</w:t>
            </w:r>
          </w:p>
        </w:tc>
        <w:tc>
          <w:tcPr>
            <w:tcW w:w="2268" w:type="dxa"/>
            <w:vAlign w:val="center"/>
          </w:tcPr>
          <w:p w14:paraId="62AA8D7A">
            <w:pPr>
              <w:adjustRightInd w:val="0"/>
              <w:snapToGrid w:val="0"/>
              <w:rPr>
                <w:kern w:val="0"/>
                <w:sz w:val="20"/>
              </w:rPr>
            </w:pPr>
            <w:r>
              <w:rPr>
                <w:kern w:val="0"/>
                <w:sz w:val="20"/>
              </w:rPr>
              <w:t>主要讲授统计调查与数据采集、数据整理与图表展示、平均与变异指标、抽样推断、相关与回归分析、时间序列分析等基本方法。</w:t>
            </w:r>
          </w:p>
        </w:tc>
        <w:tc>
          <w:tcPr>
            <w:tcW w:w="2544" w:type="dxa"/>
            <w:vAlign w:val="center"/>
          </w:tcPr>
          <w:p w14:paraId="267CAB17">
            <w:pPr>
              <w:adjustRightInd w:val="0"/>
              <w:snapToGrid w:val="0"/>
              <w:rPr>
                <w:kern w:val="0"/>
                <w:sz w:val="20"/>
              </w:rPr>
            </w:pPr>
            <w:r>
              <w:rPr>
                <w:rFonts w:hint="eastAsia"/>
                <w:kern w:val="0"/>
                <w:sz w:val="20"/>
              </w:rPr>
              <w:t>教师要求：熟悉统计软件操作，能将理论方法与经济管理实例相结合。</w:t>
            </w:r>
          </w:p>
          <w:p w14:paraId="44026F04">
            <w:pPr>
              <w:adjustRightInd w:val="0"/>
              <w:snapToGrid w:val="0"/>
              <w:rPr>
                <w:kern w:val="0"/>
                <w:sz w:val="20"/>
              </w:rPr>
            </w:pPr>
            <w:r>
              <w:rPr>
                <w:rFonts w:hint="eastAsia"/>
                <w:kern w:val="0"/>
                <w:sz w:val="20"/>
              </w:rPr>
              <w:t>学生要求：掌握基本计算分析方法，能使用软件完成简单的数据处理与分析任务。</w:t>
            </w:r>
          </w:p>
        </w:tc>
      </w:tr>
      <w:tr w14:paraId="3EAC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vAlign w:val="center"/>
          </w:tcPr>
          <w:p w14:paraId="2BEFDB1E">
            <w:pPr>
              <w:adjustRightInd w:val="0"/>
              <w:snapToGrid w:val="0"/>
              <w:jc w:val="center"/>
              <w:rPr>
                <w:rFonts w:ascii="宋体" w:hAnsi="宋体"/>
                <w:kern w:val="0"/>
                <w:sz w:val="20"/>
                <w:szCs w:val="21"/>
              </w:rPr>
            </w:pPr>
            <w:r>
              <w:rPr>
                <w:rFonts w:hint="eastAsia" w:ascii="宋体" w:hAnsi="宋体"/>
                <w:kern w:val="0"/>
                <w:sz w:val="20"/>
                <w:szCs w:val="21"/>
                <w:lang w:val="en-US" w:eastAsia="zh-CN"/>
              </w:rPr>
              <w:t>会计</w:t>
            </w:r>
            <w:r>
              <w:rPr>
                <w:rFonts w:hint="eastAsia" w:ascii="宋体" w:hAnsi="宋体"/>
                <w:kern w:val="0"/>
                <w:sz w:val="20"/>
                <w:szCs w:val="21"/>
              </w:rPr>
              <w:t>基础</w:t>
            </w:r>
          </w:p>
        </w:tc>
        <w:tc>
          <w:tcPr>
            <w:tcW w:w="709" w:type="dxa"/>
            <w:vAlign w:val="center"/>
          </w:tcPr>
          <w:p w14:paraId="2BB5E6D7">
            <w:pPr>
              <w:adjustRightInd w:val="0"/>
              <w:snapToGrid w:val="0"/>
              <w:jc w:val="center"/>
              <w:rPr>
                <w:rFonts w:ascii="宋体" w:hAnsi="宋体"/>
                <w:kern w:val="0"/>
                <w:sz w:val="20"/>
                <w:szCs w:val="21"/>
              </w:rPr>
            </w:pPr>
            <w:r>
              <w:rPr>
                <w:rFonts w:ascii="宋体" w:hAnsi="宋体"/>
                <w:kern w:val="0"/>
                <w:sz w:val="20"/>
                <w:szCs w:val="21"/>
              </w:rPr>
              <w:t>72</w:t>
            </w:r>
          </w:p>
        </w:tc>
        <w:tc>
          <w:tcPr>
            <w:tcW w:w="2268" w:type="dxa"/>
            <w:vAlign w:val="center"/>
          </w:tcPr>
          <w:p w14:paraId="7C6590E1">
            <w:pPr>
              <w:adjustRightInd w:val="0"/>
              <w:snapToGrid w:val="0"/>
              <w:rPr>
                <w:kern w:val="0"/>
                <w:sz w:val="20"/>
              </w:rPr>
            </w:pPr>
            <w:r>
              <w:rPr>
                <w:kern w:val="0"/>
                <w:sz w:val="20"/>
              </w:rPr>
              <w:t>使学生掌握会计的基本理论、基本方法和基本技能，能够熟练运用借贷记账法处理企业基本经济业务，为后续专业课程学习打下坚实根基。</w:t>
            </w:r>
          </w:p>
        </w:tc>
        <w:tc>
          <w:tcPr>
            <w:tcW w:w="2268" w:type="dxa"/>
            <w:vAlign w:val="center"/>
          </w:tcPr>
          <w:p w14:paraId="5F741294">
            <w:pPr>
              <w:adjustRightInd w:val="0"/>
              <w:snapToGrid w:val="0"/>
              <w:rPr>
                <w:kern w:val="0"/>
                <w:sz w:val="20"/>
              </w:rPr>
            </w:pPr>
            <w:r>
              <w:rPr>
                <w:kern w:val="0"/>
                <w:sz w:val="20"/>
              </w:rPr>
              <w:t>主要讲授会计要素与会计等式、会计科目与账户、借贷记账法、企业主要经济业务核算、会计凭证填制与审核、会计账簿登记、对账结账、财产清查及会计报表编制基础。</w:t>
            </w:r>
          </w:p>
        </w:tc>
        <w:tc>
          <w:tcPr>
            <w:tcW w:w="2544" w:type="dxa"/>
            <w:vAlign w:val="center"/>
          </w:tcPr>
          <w:p w14:paraId="1C20195A">
            <w:pPr>
              <w:adjustRightInd w:val="0"/>
              <w:snapToGrid w:val="0"/>
              <w:rPr>
                <w:kern w:val="0"/>
                <w:sz w:val="20"/>
              </w:rPr>
            </w:pPr>
            <w:r>
              <w:rPr>
                <w:rFonts w:hint="eastAsia" w:ascii="宋体" w:hAnsi="宋体"/>
                <w:b/>
                <w:bCs/>
                <w:kern w:val="0"/>
                <w:sz w:val="20"/>
                <w:szCs w:val="21"/>
              </w:rPr>
              <w:t>教师要求：</w:t>
            </w:r>
            <w:r>
              <w:rPr>
                <w:kern w:val="0"/>
                <w:sz w:val="20"/>
              </w:rPr>
              <w:t>具备会计师资格或丰富实务经验，教学细致严谨。</w:t>
            </w:r>
          </w:p>
          <w:p w14:paraId="02F9A7F0">
            <w:pPr>
              <w:adjustRightInd w:val="0"/>
              <w:snapToGrid w:val="0"/>
              <w:rPr>
                <w:rFonts w:ascii="宋体" w:hAnsi="宋体"/>
                <w:b/>
                <w:bCs/>
                <w:kern w:val="0"/>
                <w:sz w:val="20"/>
                <w:szCs w:val="21"/>
              </w:rPr>
            </w:pPr>
            <w:r>
              <w:rPr>
                <w:rFonts w:hint="eastAsia"/>
                <w:b/>
                <w:bCs/>
                <w:kern w:val="0"/>
                <w:sz w:val="20"/>
              </w:rPr>
              <w:t>学生要求：</w:t>
            </w:r>
            <w:r>
              <w:rPr>
                <w:kern w:val="0"/>
                <w:sz w:val="20"/>
              </w:rPr>
              <w:t>熟练掌握借贷记账法，能独立完成一套简单账务处理流程。</w:t>
            </w:r>
          </w:p>
        </w:tc>
      </w:tr>
      <w:tr w14:paraId="6F66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vAlign w:val="center"/>
          </w:tcPr>
          <w:p w14:paraId="10B93AB4">
            <w:pPr>
              <w:adjustRightInd w:val="0"/>
              <w:snapToGrid w:val="0"/>
              <w:jc w:val="center"/>
              <w:rPr>
                <w:rFonts w:hint="eastAsia" w:ascii="宋体" w:hAnsi="宋体" w:eastAsia="宋体"/>
                <w:kern w:val="0"/>
                <w:sz w:val="20"/>
                <w:szCs w:val="21"/>
                <w:lang w:eastAsia="zh-CN"/>
              </w:rPr>
            </w:pPr>
            <w:r>
              <w:rPr>
                <w:rFonts w:hint="eastAsia" w:ascii="宋体" w:hAnsi="宋体"/>
                <w:kern w:val="0"/>
                <w:sz w:val="20"/>
                <w:szCs w:val="21"/>
                <w:lang w:val="en-US" w:eastAsia="zh-CN"/>
              </w:rPr>
              <w:t>出纳业务操作</w:t>
            </w:r>
          </w:p>
        </w:tc>
        <w:tc>
          <w:tcPr>
            <w:tcW w:w="709" w:type="dxa"/>
            <w:vAlign w:val="center"/>
          </w:tcPr>
          <w:p w14:paraId="2D0DC8AF">
            <w:pPr>
              <w:adjustRightInd w:val="0"/>
              <w:snapToGrid w:val="0"/>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36</w:t>
            </w:r>
          </w:p>
        </w:tc>
        <w:tc>
          <w:tcPr>
            <w:tcW w:w="2268" w:type="dxa"/>
            <w:vAlign w:val="center"/>
          </w:tcPr>
          <w:p w14:paraId="04D8AB62">
            <w:pPr>
              <w:adjustRightInd w:val="0"/>
              <w:snapToGrid w:val="0"/>
              <w:rPr>
                <w:kern w:val="0"/>
                <w:sz w:val="20"/>
              </w:rPr>
            </w:pPr>
            <w:r>
              <w:rPr>
                <w:kern w:val="0"/>
                <w:sz w:val="20"/>
              </w:rPr>
              <w:t>使学生熟悉出纳岗位的工作内容和流程，掌握现金、银行存款日常收支业务处理及票据管理的基本技能，具备胜任出纳工作的基本职业能力。</w:t>
            </w:r>
          </w:p>
        </w:tc>
        <w:tc>
          <w:tcPr>
            <w:tcW w:w="2268" w:type="dxa"/>
            <w:vAlign w:val="center"/>
          </w:tcPr>
          <w:p w14:paraId="07337EDC">
            <w:pPr>
              <w:adjustRightInd w:val="0"/>
              <w:snapToGrid w:val="0"/>
              <w:rPr>
                <w:kern w:val="0"/>
                <w:sz w:val="20"/>
              </w:rPr>
            </w:pPr>
            <w:r>
              <w:rPr>
                <w:kern w:val="0"/>
                <w:sz w:val="20"/>
              </w:rPr>
              <w:t>主要讲授现金收付与盘点、银行结算业务办理（支票、汇票、本票等）、网上银行操作、日记账登记与核对、票据与印章管理、出纳资料归档与交接等。</w:t>
            </w:r>
          </w:p>
        </w:tc>
        <w:tc>
          <w:tcPr>
            <w:tcW w:w="2544" w:type="dxa"/>
            <w:vAlign w:val="center"/>
          </w:tcPr>
          <w:p w14:paraId="2F1902EF">
            <w:pPr>
              <w:adjustRightInd w:val="0"/>
              <w:snapToGrid w:val="0"/>
              <w:rPr>
                <w:kern w:val="0"/>
                <w:sz w:val="20"/>
              </w:rPr>
            </w:pPr>
            <w:r>
              <w:rPr>
                <w:rFonts w:hint="eastAsia" w:ascii="宋体" w:hAnsi="宋体"/>
                <w:b/>
                <w:bCs/>
                <w:kern w:val="0"/>
                <w:sz w:val="20"/>
                <w:szCs w:val="21"/>
              </w:rPr>
              <w:t>教师要求：</w:t>
            </w:r>
            <w:r>
              <w:rPr>
                <w:kern w:val="0"/>
                <w:sz w:val="20"/>
              </w:rPr>
              <w:t>具备企业出纳工作经验，能进行实操演示。</w:t>
            </w:r>
          </w:p>
          <w:p w14:paraId="5D96707F">
            <w:pPr>
              <w:adjustRightInd w:val="0"/>
              <w:snapToGrid w:val="0"/>
              <w:rPr>
                <w:rFonts w:ascii="宋体" w:hAnsi="宋体"/>
                <w:b/>
                <w:bCs/>
                <w:kern w:val="0"/>
                <w:sz w:val="20"/>
                <w:szCs w:val="21"/>
              </w:rPr>
            </w:pPr>
            <w:r>
              <w:rPr>
                <w:rFonts w:hint="eastAsia" w:ascii="宋体" w:hAnsi="宋体"/>
                <w:b/>
                <w:bCs/>
                <w:kern w:val="0"/>
                <w:sz w:val="20"/>
                <w:szCs w:val="21"/>
              </w:rPr>
              <w:t>学生要求：</w:t>
            </w:r>
            <w:r>
              <w:rPr>
                <w:kern w:val="0"/>
                <w:sz w:val="20"/>
              </w:rPr>
              <w:t>严守“严谨、细致”原则，反复练习，掌握各项操作技能要点。</w:t>
            </w:r>
          </w:p>
        </w:tc>
      </w:tr>
      <w:tr w14:paraId="4E1D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vAlign w:val="center"/>
          </w:tcPr>
          <w:p w14:paraId="6B341331">
            <w:pPr>
              <w:adjustRightInd w:val="0"/>
              <w:snapToGrid w:val="0"/>
              <w:jc w:val="center"/>
              <w:rPr>
                <w:rFonts w:ascii="宋体" w:hAnsi="宋体"/>
                <w:kern w:val="0"/>
                <w:sz w:val="20"/>
                <w:szCs w:val="21"/>
              </w:rPr>
            </w:pPr>
            <w:r>
              <w:rPr>
                <w:rFonts w:hint="eastAsia" w:ascii="宋体" w:hAnsi="宋体"/>
                <w:kern w:val="0"/>
                <w:sz w:val="20"/>
                <w:szCs w:val="21"/>
              </w:rPr>
              <w:t>大数据技术应用基础</w:t>
            </w:r>
          </w:p>
        </w:tc>
        <w:tc>
          <w:tcPr>
            <w:tcW w:w="709" w:type="dxa"/>
            <w:vAlign w:val="center"/>
          </w:tcPr>
          <w:p w14:paraId="47D13BC8">
            <w:pPr>
              <w:adjustRightInd w:val="0"/>
              <w:snapToGrid w:val="0"/>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72</w:t>
            </w:r>
          </w:p>
        </w:tc>
        <w:tc>
          <w:tcPr>
            <w:tcW w:w="2268" w:type="dxa"/>
            <w:vAlign w:val="center"/>
          </w:tcPr>
          <w:p w14:paraId="40EF4099">
            <w:pPr>
              <w:adjustRightInd w:val="0"/>
              <w:snapToGrid w:val="0"/>
              <w:rPr>
                <w:kern w:val="0"/>
                <w:sz w:val="20"/>
              </w:rPr>
            </w:pPr>
            <w:r>
              <w:rPr>
                <w:kern w:val="0"/>
                <w:sz w:val="20"/>
              </w:rPr>
              <w:t>使学生了解大数据基本概念、技术架构和典型应用场景，掌握数据清洗、存储和管理的基本方法，建立数据思维，为财务大数据分析做好准备。</w:t>
            </w:r>
          </w:p>
        </w:tc>
        <w:tc>
          <w:tcPr>
            <w:tcW w:w="2268" w:type="dxa"/>
            <w:vAlign w:val="center"/>
          </w:tcPr>
          <w:p w14:paraId="358DF85D">
            <w:pPr>
              <w:adjustRightInd w:val="0"/>
              <w:snapToGrid w:val="0"/>
              <w:rPr>
                <w:kern w:val="0"/>
                <w:sz w:val="20"/>
              </w:rPr>
            </w:pPr>
            <w:r>
              <w:rPr>
                <w:kern w:val="0"/>
                <w:sz w:val="20"/>
              </w:rPr>
              <w:t>主要讲授大数据概念与特征、Hadoop/Spark生态简介、数据库与SQL基础、数据采集与清洗、数据存储与管理、数据可视化初步，并结合财务场景进行案例教学。</w:t>
            </w:r>
          </w:p>
        </w:tc>
        <w:tc>
          <w:tcPr>
            <w:tcW w:w="2544" w:type="dxa"/>
            <w:vAlign w:val="center"/>
          </w:tcPr>
          <w:p w14:paraId="16FDEEB3">
            <w:pPr>
              <w:adjustRightInd w:val="0"/>
              <w:snapToGrid w:val="0"/>
              <w:rPr>
                <w:kern w:val="0"/>
                <w:sz w:val="20"/>
              </w:rPr>
            </w:pPr>
            <w:r>
              <w:rPr>
                <w:rFonts w:hint="eastAsia" w:ascii="宋体" w:hAnsi="宋体"/>
                <w:b/>
                <w:bCs/>
                <w:kern w:val="0"/>
                <w:sz w:val="20"/>
                <w:szCs w:val="21"/>
              </w:rPr>
              <w:t>教师要求：</w:t>
            </w:r>
            <w:r>
              <w:rPr>
                <w:rFonts w:ascii="Segoe UI" w:hAnsi="Segoe UI" w:eastAsia="Segoe UI" w:cs="Segoe UI"/>
                <w:i w:val="0"/>
                <w:iCs w:val="0"/>
                <w:caps w:val="0"/>
                <w:color w:val="000000"/>
                <w:spacing w:val="-2"/>
                <w:sz w:val="24"/>
                <w:szCs w:val="24"/>
                <w:shd w:val="clear" w:fill="FFFFFF"/>
              </w:rPr>
              <w:t>具</w:t>
            </w:r>
            <w:r>
              <w:rPr>
                <w:kern w:val="0"/>
                <w:sz w:val="20"/>
              </w:rPr>
              <w:t>备交叉学科知识背景，能将大数据技术与财经领域应用相结合。</w:t>
            </w:r>
          </w:p>
          <w:p w14:paraId="227DC5E7">
            <w:pPr>
              <w:adjustRightInd w:val="0"/>
              <w:snapToGrid w:val="0"/>
              <w:rPr>
                <w:rFonts w:ascii="宋体" w:hAnsi="宋体"/>
                <w:b/>
                <w:bCs/>
                <w:kern w:val="0"/>
                <w:sz w:val="20"/>
                <w:szCs w:val="21"/>
              </w:rPr>
            </w:pPr>
            <w:r>
              <w:rPr>
                <w:rFonts w:hint="eastAsia"/>
                <w:b/>
                <w:bCs/>
                <w:kern w:val="0"/>
                <w:sz w:val="20"/>
              </w:rPr>
              <w:t>学生要求：</w:t>
            </w:r>
            <w:r>
              <w:rPr>
                <w:kern w:val="0"/>
                <w:sz w:val="20"/>
              </w:rPr>
              <w:t>理解技术逻辑，重点掌握数据查询、清洗等实操技能。</w:t>
            </w:r>
          </w:p>
        </w:tc>
      </w:tr>
      <w:tr w14:paraId="36EA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vAlign w:val="center"/>
          </w:tcPr>
          <w:p w14:paraId="5D93222A">
            <w:pPr>
              <w:adjustRightInd w:val="0"/>
              <w:snapToGrid w:val="0"/>
              <w:jc w:val="center"/>
              <w:rPr>
                <w:rFonts w:hint="eastAsia" w:ascii="宋体" w:hAnsi="宋体"/>
                <w:kern w:val="0"/>
                <w:sz w:val="20"/>
                <w:szCs w:val="21"/>
              </w:rPr>
            </w:pPr>
            <w:r>
              <w:rPr>
                <w:rFonts w:hint="eastAsia" w:ascii="宋体" w:hAnsi="宋体"/>
                <w:kern w:val="0"/>
                <w:sz w:val="20"/>
                <w:szCs w:val="21"/>
              </w:rPr>
              <w:t>Python财务基础</w:t>
            </w:r>
          </w:p>
        </w:tc>
        <w:tc>
          <w:tcPr>
            <w:tcW w:w="709" w:type="dxa"/>
            <w:vAlign w:val="center"/>
          </w:tcPr>
          <w:p w14:paraId="70928C35">
            <w:pPr>
              <w:adjustRightInd w:val="0"/>
              <w:snapToGrid w:val="0"/>
              <w:jc w:val="center"/>
              <w:rPr>
                <w:rFonts w:ascii="宋体" w:hAnsi="宋体"/>
                <w:kern w:val="0"/>
                <w:sz w:val="20"/>
                <w:szCs w:val="21"/>
              </w:rPr>
            </w:pPr>
            <w:r>
              <w:rPr>
                <w:rFonts w:ascii="宋体" w:hAnsi="宋体"/>
                <w:kern w:val="0"/>
                <w:sz w:val="20"/>
                <w:szCs w:val="21"/>
              </w:rPr>
              <w:t>72</w:t>
            </w:r>
          </w:p>
        </w:tc>
        <w:tc>
          <w:tcPr>
            <w:tcW w:w="2268" w:type="dxa"/>
            <w:vAlign w:val="center"/>
          </w:tcPr>
          <w:p w14:paraId="4119BD1F">
            <w:pPr>
              <w:adjustRightInd w:val="0"/>
              <w:snapToGrid w:val="0"/>
              <w:rPr>
                <w:kern w:val="0"/>
                <w:sz w:val="20"/>
              </w:rPr>
            </w:pPr>
            <w:r>
              <w:rPr>
                <w:kern w:val="0"/>
                <w:sz w:val="20"/>
              </w:rPr>
              <w:t>使学生掌握Python编程语言的基本语法和数据结构，能够运用Python进行财务数据的获取、处理、分析和可视化，实现财务工作的初步自动化。</w:t>
            </w:r>
          </w:p>
        </w:tc>
        <w:tc>
          <w:tcPr>
            <w:tcW w:w="2268" w:type="dxa"/>
            <w:vAlign w:val="center"/>
          </w:tcPr>
          <w:p w14:paraId="13792F72">
            <w:pPr>
              <w:adjustRightInd w:val="0"/>
              <w:snapToGrid w:val="0"/>
              <w:rPr>
                <w:kern w:val="0"/>
                <w:sz w:val="20"/>
              </w:rPr>
            </w:pPr>
            <w:r>
              <w:rPr>
                <w:kern w:val="0"/>
                <w:sz w:val="20"/>
              </w:rPr>
              <w:t>主要讲授Python基础语法、数据类型、流程控制、函数、文件操作、常用数据分析库（Pandas, NumPy）的基本使用、数据可视化（Matplotlib）及网络数据抓取初步。</w:t>
            </w:r>
          </w:p>
        </w:tc>
        <w:tc>
          <w:tcPr>
            <w:tcW w:w="2544" w:type="dxa"/>
            <w:vAlign w:val="center"/>
          </w:tcPr>
          <w:p w14:paraId="11C13C96">
            <w:pPr>
              <w:adjustRightInd w:val="0"/>
              <w:snapToGrid w:val="0"/>
              <w:rPr>
                <w:kern w:val="0"/>
                <w:sz w:val="20"/>
              </w:rPr>
            </w:pPr>
            <w:r>
              <w:rPr>
                <w:rFonts w:hint="eastAsia" w:ascii="宋体" w:hAnsi="宋体"/>
                <w:b/>
                <w:bCs/>
                <w:kern w:val="0"/>
                <w:sz w:val="20"/>
                <w:szCs w:val="21"/>
              </w:rPr>
              <w:t>教师要求：</w:t>
            </w:r>
            <w:r>
              <w:rPr>
                <w:kern w:val="0"/>
                <w:sz w:val="20"/>
              </w:rPr>
              <w:t>精通Python语言，熟悉其在财务领域的应用场景和案例。</w:t>
            </w:r>
          </w:p>
          <w:p w14:paraId="2B1DF272">
            <w:pPr>
              <w:adjustRightInd w:val="0"/>
              <w:snapToGrid w:val="0"/>
              <w:rPr>
                <w:rFonts w:ascii="宋体" w:hAnsi="宋体"/>
                <w:b/>
                <w:bCs/>
                <w:kern w:val="0"/>
                <w:sz w:val="20"/>
                <w:szCs w:val="21"/>
              </w:rPr>
            </w:pPr>
            <w:r>
              <w:rPr>
                <w:rFonts w:hint="eastAsia"/>
                <w:b/>
                <w:bCs/>
                <w:kern w:val="0"/>
                <w:sz w:val="20"/>
              </w:rPr>
              <w:t>学生要求：</w:t>
            </w:r>
            <w:r>
              <w:rPr>
                <w:kern w:val="0"/>
                <w:sz w:val="20"/>
              </w:rPr>
              <w:t>多动手编程实践，能独立编写脚本解决简单的财务数据处理问题。</w:t>
            </w:r>
          </w:p>
        </w:tc>
      </w:tr>
      <w:tr w14:paraId="570F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vAlign w:val="center"/>
          </w:tcPr>
          <w:p w14:paraId="359BD1C1">
            <w:pPr>
              <w:adjustRightInd w:val="0"/>
              <w:snapToGrid w:val="0"/>
              <w:jc w:val="center"/>
              <w:rPr>
                <w:rFonts w:ascii="宋体" w:hAnsi="宋体"/>
                <w:kern w:val="0"/>
                <w:sz w:val="20"/>
                <w:szCs w:val="21"/>
              </w:rPr>
            </w:pPr>
            <w:r>
              <w:rPr>
                <w:rFonts w:ascii="宋体" w:hAnsi="宋体"/>
                <w:kern w:val="0"/>
                <w:sz w:val="20"/>
                <w:szCs w:val="21"/>
              </w:rPr>
              <w:t>企业财务会计</w:t>
            </w:r>
          </w:p>
        </w:tc>
        <w:tc>
          <w:tcPr>
            <w:tcW w:w="709" w:type="dxa"/>
            <w:vAlign w:val="center"/>
          </w:tcPr>
          <w:p w14:paraId="35CAAA56">
            <w:pPr>
              <w:adjustRightInd w:val="0"/>
              <w:snapToGrid w:val="0"/>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108</w:t>
            </w:r>
          </w:p>
        </w:tc>
        <w:tc>
          <w:tcPr>
            <w:tcW w:w="2268" w:type="dxa"/>
            <w:vAlign w:val="center"/>
          </w:tcPr>
          <w:p w14:paraId="3AF57B30">
            <w:pPr>
              <w:adjustRightInd w:val="0"/>
              <w:snapToGrid w:val="0"/>
              <w:rPr>
                <w:kern w:val="0"/>
                <w:sz w:val="20"/>
              </w:rPr>
            </w:pPr>
            <w:r>
              <w:rPr>
                <w:kern w:val="0"/>
                <w:sz w:val="20"/>
              </w:rPr>
              <w:t>使学生掌握企业财务会计的基本理论和方法，能够熟练运用会计准则进行资产、负债、所有者权益、收入、费用和利润等会计要素的确认、计量、记录和报告，具备独立处理企业常见经济业务账务的能力。</w:t>
            </w:r>
          </w:p>
        </w:tc>
        <w:tc>
          <w:tcPr>
            <w:tcW w:w="2268" w:type="dxa"/>
            <w:vAlign w:val="center"/>
          </w:tcPr>
          <w:p w14:paraId="7683A106">
            <w:pPr>
              <w:adjustRightInd w:val="0"/>
              <w:snapToGrid w:val="0"/>
              <w:rPr>
                <w:kern w:val="0"/>
                <w:sz w:val="20"/>
              </w:rPr>
            </w:pPr>
            <w:r>
              <w:rPr>
                <w:kern w:val="0"/>
                <w:sz w:val="20"/>
              </w:rPr>
              <w:t>主要讲授货币资金、应收款项、存货、固定资产、无形资产、投资、负债、所有者权益、收入、费用和利润的核算，以及财务报表（资产负债表、利润表、现金流量表）的编制。</w:t>
            </w:r>
          </w:p>
        </w:tc>
        <w:tc>
          <w:tcPr>
            <w:tcW w:w="2544" w:type="dxa"/>
            <w:vAlign w:val="center"/>
          </w:tcPr>
          <w:p w14:paraId="5D9BD24C">
            <w:pPr>
              <w:adjustRightInd w:val="0"/>
              <w:snapToGrid w:val="0"/>
              <w:rPr>
                <w:kern w:val="0"/>
                <w:sz w:val="20"/>
              </w:rPr>
            </w:pPr>
            <w:r>
              <w:rPr>
                <w:rFonts w:hint="eastAsia" w:ascii="宋体" w:hAnsi="宋体"/>
                <w:b/>
                <w:bCs/>
                <w:kern w:val="0"/>
                <w:sz w:val="20"/>
                <w:szCs w:val="21"/>
              </w:rPr>
              <w:t>教师要求：</w:t>
            </w:r>
            <w:r>
              <w:rPr>
                <w:kern w:val="0"/>
                <w:sz w:val="20"/>
              </w:rPr>
              <w:t>具备注册会计师或高级会计师资格，有丰富的企业财务实践经验，擅长案例教学。</w:t>
            </w:r>
          </w:p>
          <w:p w14:paraId="32C5530C">
            <w:pPr>
              <w:adjustRightInd w:val="0"/>
              <w:snapToGrid w:val="0"/>
              <w:rPr>
                <w:rFonts w:ascii="宋体" w:hAnsi="宋体"/>
                <w:b/>
                <w:bCs/>
                <w:kern w:val="0"/>
                <w:sz w:val="20"/>
                <w:szCs w:val="21"/>
              </w:rPr>
            </w:pPr>
            <w:r>
              <w:rPr>
                <w:rFonts w:hint="eastAsia"/>
                <w:b/>
                <w:bCs/>
                <w:kern w:val="0"/>
                <w:sz w:val="20"/>
              </w:rPr>
              <w:t>学生要求：</w:t>
            </w:r>
            <w:r>
              <w:rPr>
                <w:kern w:val="0"/>
                <w:sz w:val="20"/>
              </w:rPr>
              <w:t>熟练掌握会计准则，能独立完成制造业企业一个完整会计周期的账务处理。</w:t>
            </w:r>
          </w:p>
        </w:tc>
      </w:tr>
      <w:tr w14:paraId="531D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vAlign w:val="center"/>
          </w:tcPr>
          <w:p w14:paraId="1D8AE644">
            <w:pPr>
              <w:adjustRightInd w:val="0"/>
              <w:snapToGrid w:val="0"/>
              <w:jc w:val="center"/>
              <w:rPr>
                <w:rFonts w:ascii="宋体" w:hAnsi="宋体"/>
                <w:kern w:val="0"/>
                <w:sz w:val="20"/>
                <w:szCs w:val="21"/>
              </w:rPr>
            </w:pPr>
            <w:r>
              <w:rPr>
                <w:rFonts w:ascii="宋体" w:hAnsi="宋体"/>
                <w:kern w:val="0"/>
                <w:sz w:val="20"/>
                <w:szCs w:val="21"/>
              </w:rPr>
              <w:t>智能化成本核算与管理</w:t>
            </w:r>
          </w:p>
        </w:tc>
        <w:tc>
          <w:tcPr>
            <w:tcW w:w="709" w:type="dxa"/>
            <w:vAlign w:val="center"/>
          </w:tcPr>
          <w:p w14:paraId="74B0844F">
            <w:pPr>
              <w:adjustRightInd w:val="0"/>
              <w:snapToGrid w:val="0"/>
              <w:jc w:val="center"/>
              <w:rPr>
                <w:rFonts w:ascii="宋体" w:hAnsi="宋体"/>
                <w:kern w:val="0"/>
                <w:sz w:val="20"/>
                <w:szCs w:val="21"/>
              </w:rPr>
            </w:pPr>
            <w:r>
              <w:rPr>
                <w:rFonts w:ascii="宋体" w:hAnsi="宋体"/>
                <w:kern w:val="0"/>
                <w:sz w:val="20"/>
                <w:szCs w:val="21"/>
              </w:rPr>
              <w:t>72</w:t>
            </w:r>
          </w:p>
        </w:tc>
        <w:tc>
          <w:tcPr>
            <w:tcW w:w="2268" w:type="dxa"/>
            <w:vAlign w:val="center"/>
          </w:tcPr>
          <w:p w14:paraId="32D0C116">
            <w:pPr>
              <w:adjustRightInd w:val="0"/>
              <w:snapToGrid w:val="0"/>
              <w:rPr>
                <w:kern w:val="0"/>
                <w:sz w:val="20"/>
              </w:rPr>
            </w:pPr>
            <w:r>
              <w:rPr>
                <w:kern w:val="0"/>
                <w:sz w:val="20"/>
              </w:rPr>
              <w:t>使学生掌握现代成本核算与管理的基本方法，理解智能化成本管理系统的运作原理，能够运用信息技术进行成本计算、分析、控制和决策，为企业降本增效提供支持。</w:t>
            </w:r>
          </w:p>
        </w:tc>
        <w:tc>
          <w:tcPr>
            <w:tcW w:w="2268" w:type="dxa"/>
            <w:vAlign w:val="center"/>
          </w:tcPr>
          <w:p w14:paraId="0D8C4289">
            <w:pPr>
              <w:adjustRightInd w:val="0"/>
              <w:snapToGrid w:val="0"/>
              <w:rPr>
                <w:kern w:val="0"/>
                <w:sz w:val="20"/>
              </w:rPr>
            </w:pPr>
            <w:r>
              <w:rPr>
                <w:kern w:val="0"/>
                <w:sz w:val="20"/>
              </w:rPr>
              <w:t>主要讲授成本性态分析、品种法、分批法、分步法等传统成本计算方法，以及作业成本法（ABC）、标准成本法、成本预测、决策、控制和考核等内容，并引入智能成本管理软件进行实践操作。</w:t>
            </w:r>
          </w:p>
        </w:tc>
        <w:tc>
          <w:tcPr>
            <w:tcW w:w="2544" w:type="dxa"/>
            <w:vAlign w:val="center"/>
          </w:tcPr>
          <w:p w14:paraId="5B782975">
            <w:pPr>
              <w:adjustRightInd w:val="0"/>
              <w:snapToGrid w:val="0"/>
              <w:rPr>
                <w:kern w:val="0"/>
                <w:sz w:val="20"/>
              </w:rPr>
            </w:pPr>
            <w:r>
              <w:rPr>
                <w:rFonts w:hint="eastAsia" w:ascii="宋体" w:hAnsi="宋体"/>
                <w:b/>
                <w:bCs/>
                <w:kern w:val="0"/>
                <w:sz w:val="20"/>
                <w:szCs w:val="21"/>
              </w:rPr>
              <w:t>教师要求：</w:t>
            </w:r>
            <w:r>
              <w:rPr>
                <w:kern w:val="0"/>
                <w:sz w:val="20"/>
              </w:rPr>
              <w:t>熟悉企业成本管理实务和智能财务软件应用。</w:t>
            </w:r>
          </w:p>
          <w:p w14:paraId="58E13791">
            <w:pPr>
              <w:adjustRightInd w:val="0"/>
              <w:snapToGrid w:val="0"/>
              <w:rPr>
                <w:rFonts w:ascii="宋体" w:hAnsi="宋体"/>
                <w:b/>
                <w:bCs/>
                <w:kern w:val="0"/>
                <w:sz w:val="20"/>
                <w:szCs w:val="21"/>
              </w:rPr>
            </w:pPr>
            <w:r>
              <w:rPr>
                <w:rFonts w:hint="eastAsia"/>
                <w:b/>
                <w:bCs/>
                <w:kern w:val="0"/>
                <w:sz w:val="20"/>
              </w:rPr>
              <w:t>学生要求：</w:t>
            </w:r>
            <w:r>
              <w:rPr>
                <w:kern w:val="0"/>
                <w:sz w:val="20"/>
              </w:rPr>
              <w:t>理解不同成本计算方法的应用场景，能运用软件工具完成成本核算与分析任务。</w:t>
            </w:r>
          </w:p>
        </w:tc>
      </w:tr>
      <w:tr w14:paraId="588A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vAlign w:val="center"/>
          </w:tcPr>
          <w:p w14:paraId="5C3896B7">
            <w:pPr>
              <w:adjustRightInd w:val="0"/>
              <w:snapToGrid w:val="0"/>
              <w:jc w:val="center"/>
              <w:rPr>
                <w:rFonts w:ascii="宋体" w:hAnsi="宋体"/>
                <w:kern w:val="0"/>
                <w:sz w:val="20"/>
                <w:szCs w:val="21"/>
              </w:rPr>
            </w:pPr>
            <w:r>
              <w:rPr>
                <w:rFonts w:ascii="宋体" w:hAnsi="宋体"/>
                <w:kern w:val="0"/>
                <w:sz w:val="20"/>
                <w:szCs w:val="21"/>
              </w:rPr>
              <w:t>智慧化税费申报与管理</w:t>
            </w:r>
          </w:p>
        </w:tc>
        <w:tc>
          <w:tcPr>
            <w:tcW w:w="709" w:type="dxa"/>
            <w:vAlign w:val="center"/>
          </w:tcPr>
          <w:p w14:paraId="01FAD3AF">
            <w:pPr>
              <w:adjustRightInd w:val="0"/>
              <w:snapToGrid w:val="0"/>
              <w:jc w:val="center"/>
              <w:rPr>
                <w:rFonts w:ascii="宋体" w:hAnsi="宋体"/>
                <w:kern w:val="0"/>
                <w:sz w:val="20"/>
                <w:szCs w:val="21"/>
              </w:rPr>
            </w:pPr>
            <w:r>
              <w:rPr>
                <w:rFonts w:ascii="宋体" w:hAnsi="宋体"/>
                <w:kern w:val="0"/>
                <w:sz w:val="20"/>
                <w:szCs w:val="21"/>
              </w:rPr>
              <w:t>36</w:t>
            </w:r>
          </w:p>
        </w:tc>
        <w:tc>
          <w:tcPr>
            <w:tcW w:w="2268" w:type="dxa"/>
            <w:vAlign w:val="center"/>
          </w:tcPr>
          <w:p w14:paraId="0E9794F4">
            <w:pPr>
              <w:adjustRightInd w:val="0"/>
              <w:snapToGrid w:val="0"/>
              <w:rPr>
                <w:kern w:val="0"/>
                <w:sz w:val="20"/>
              </w:rPr>
            </w:pPr>
            <w:r>
              <w:rPr>
                <w:kern w:val="0"/>
                <w:sz w:val="20"/>
              </w:rPr>
              <w:t>使学生掌握我国现行主要税种的法规政策，能够熟练运用智能财税平台准确计算、申报和缴纳各项税费，具备进行基本税收筹划和防范税务风险的能力。</w:t>
            </w:r>
          </w:p>
        </w:tc>
        <w:tc>
          <w:tcPr>
            <w:tcW w:w="2268" w:type="dxa"/>
            <w:vAlign w:val="center"/>
          </w:tcPr>
          <w:p w14:paraId="683A06D8">
            <w:pPr>
              <w:adjustRightInd w:val="0"/>
              <w:snapToGrid w:val="0"/>
              <w:rPr>
                <w:kern w:val="0"/>
                <w:sz w:val="20"/>
              </w:rPr>
            </w:pPr>
            <w:r>
              <w:rPr>
                <w:kern w:val="0"/>
                <w:sz w:val="20"/>
              </w:rPr>
              <w:t>主要讲授增值税、消费税、企业所得税、个人所得税等主要税种的计算、会计处理及纳税申报流程，并重点演练电子税务局、智能申报软件等数字化工具的应用。</w:t>
            </w:r>
          </w:p>
        </w:tc>
        <w:tc>
          <w:tcPr>
            <w:tcW w:w="2544" w:type="dxa"/>
            <w:vAlign w:val="center"/>
          </w:tcPr>
          <w:p w14:paraId="3132FC50">
            <w:pPr>
              <w:adjustRightInd w:val="0"/>
              <w:snapToGrid w:val="0"/>
              <w:rPr>
                <w:rFonts w:hint="eastAsia" w:eastAsia="宋体"/>
                <w:kern w:val="0"/>
                <w:sz w:val="20"/>
                <w:lang w:eastAsia="zh-CN"/>
              </w:rPr>
            </w:pPr>
            <w:r>
              <w:rPr>
                <w:rFonts w:hint="eastAsia" w:ascii="宋体" w:hAnsi="宋体"/>
                <w:b/>
                <w:bCs/>
                <w:kern w:val="0"/>
                <w:sz w:val="20"/>
                <w:szCs w:val="21"/>
              </w:rPr>
              <w:t>教师要求：</w:t>
            </w:r>
            <w:r>
              <w:rPr>
                <w:kern w:val="0"/>
                <w:sz w:val="20"/>
              </w:rPr>
              <w:t>具备税务师资格或多年税务岗位工作经验，熟悉金税系统及各类申报平台</w:t>
            </w:r>
            <w:r>
              <w:rPr>
                <w:rFonts w:hint="eastAsia"/>
                <w:kern w:val="0"/>
                <w:sz w:val="20"/>
                <w:lang w:eastAsia="zh-CN"/>
              </w:rPr>
              <w:t>。</w:t>
            </w:r>
          </w:p>
          <w:p w14:paraId="152571C6">
            <w:pPr>
              <w:adjustRightInd w:val="0"/>
              <w:snapToGrid w:val="0"/>
              <w:rPr>
                <w:rFonts w:ascii="宋体" w:hAnsi="宋体"/>
                <w:b/>
                <w:bCs/>
                <w:kern w:val="0"/>
                <w:sz w:val="20"/>
                <w:szCs w:val="21"/>
              </w:rPr>
            </w:pPr>
            <w:r>
              <w:rPr>
                <w:rFonts w:hint="eastAsia"/>
                <w:b/>
                <w:bCs/>
                <w:kern w:val="0"/>
                <w:sz w:val="20"/>
              </w:rPr>
              <w:t>学生要求：</w:t>
            </w:r>
            <w:r>
              <w:rPr>
                <w:rFonts w:hint="eastAsia"/>
                <w:kern w:val="0"/>
                <w:sz w:val="20"/>
              </w:rPr>
              <w:t>准确理解税收法规，能独立操作智能财税软件完成全税种的申报流程。</w:t>
            </w:r>
          </w:p>
        </w:tc>
      </w:tr>
      <w:tr w14:paraId="6EC0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vAlign w:val="center"/>
          </w:tcPr>
          <w:p w14:paraId="00A0D9C2">
            <w:pPr>
              <w:adjustRightInd w:val="0"/>
              <w:snapToGrid w:val="0"/>
              <w:jc w:val="center"/>
              <w:rPr>
                <w:rFonts w:ascii="宋体" w:hAnsi="宋体"/>
                <w:kern w:val="0"/>
                <w:sz w:val="20"/>
                <w:szCs w:val="21"/>
              </w:rPr>
            </w:pPr>
            <w:r>
              <w:rPr>
                <w:rFonts w:ascii="宋体" w:hAnsi="宋体"/>
                <w:kern w:val="0"/>
                <w:sz w:val="20"/>
                <w:szCs w:val="21"/>
              </w:rPr>
              <w:t>会计信息系统应用</w:t>
            </w:r>
          </w:p>
        </w:tc>
        <w:tc>
          <w:tcPr>
            <w:tcW w:w="709" w:type="dxa"/>
            <w:vAlign w:val="center"/>
          </w:tcPr>
          <w:p w14:paraId="35CE8E4A">
            <w:pPr>
              <w:adjustRightInd w:val="0"/>
              <w:snapToGrid w:val="0"/>
              <w:jc w:val="center"/>
              <w:rPr>
                <w:rFonts w:ascii="宋体" w:hAnsi="宋体"/>
                <w:kern w:val="0"/>
                <w:sz w:val="20"/>
                <w:szCs w:val="21"/>
              </w:rPr>
            </w:pPr>
            <w:r>
              <w:rPr>
                <w:rFonts w:ascii="宋体" w:hAnsi="宋体"/>
                <w:kern w:val="0"/>
                <w:sz w:val="20"/>
                <w:szCs w:val="21"/>
              </w:rPr>
              <w:t>72</w:t>
            </w:r>
          </w:p>
        </w:tc>
        <w:tc>
          <w:tcPr>
            <w:tcW w:w="2268" w:type="dxa"/>
            <w:vAlign w:val="center"/>
          </w:tcPr>
          <w:p w14:paraId="50358A2B">
            <w:pPr>
              <w:adjustRightInd w:val="0"/>
              <w:snapToGrid w:val="0"/>
              <w:rPr>
                <w:rFonts w:hint="eastAsia" w:eastAsia="宋体"/>
                <w:kern w:val="0"/>
                <w:sz w:val="20"/>
                <w:lang w:eastAsia="zh-CN"/>
              </w:rPr>
            </w:pPr>
            <w:r>
              <w:rPr>
                <w:kern w:val="0"/>
                <w:sz w:val="20"/>
              </w:rPr>
              <w:t>使学生熟悉企业会计信息系统的结构和运行原理，掌握主流财务软件的核心模块操作，能够利用信息系统完成从建账到报表生成的全流程会计处理</w:t>
            </w:r>
            <w:r>
              <w:rPr>
                <w:rFonts w:hint="eastAsia"/>
                <w:kern w:val="0"/>
                <w:sz w:val="20"/>
                <w:lang w:eastAsia="zh-CN"/>
              </w:rPr>
              <w:t>。</w:t>
            </w:r>
          </w:p>
        </w:tc>
        <w:tc>
          <w:tcPr>
            <w:tcW w:w="2268" w:type="dxa"/>
            <w:vAlign w:val="center"/>
          </w:tcPr>
          <w:p w14:paraId="31027E65">
            <w:pPr>
              <w:adjustRightInd w:val="0"/>
              <w:snapToGrid w:val="0"/>
              <w:rPr>
                <w:kern w:val="0"/>
                <w:sz w:val="20"/>
              </w:rPr>
            </w:pPr>
            <w:r>
              <w:rPr>
                <w:kern w:val="0"/>
                <w:sz w:val="20"/>
              </w:rPr>
              <w:t>主要讲授会计信息系统的构成、账套管理、总账、报表、薪资、固定资产、应收应付等系统的业务处理流程，以及财务数据采集、处理、输出的信息化实现方式，并介绍RPA在财务中的应用场景。</w:t>
            </w:r>
          </w:p>
        </w:tc>
        <w:tc>
          <w:tcPr>
            <w:tcW w:w="2544" w:type="dxa"/>
            <w:vAlign w:val="center"/>
          </w:tcPr>
          <w:p w14:paraId="37D69050">
            <w:pPr>
              <w:adjustRightInd w:val="0"/>
              <w:snapToGrid w:val="0"/>
              <w:rPr>
                <w:kern w:val="0"/>
                <w:sz w:val="20"/>
              </w:rPr>
            </w:pPr>
            <w:r>
              <w:rPr>
                <w:rFonts w:hint="eastAsia" w:ascii="宋体" w:hAnsi="宋体"/>
                <w:b/>
                <w:bCs/>
                <w:kern w:val="0"/>
                <w:sz w:val="20"/>
                <w:szCs w:val="21"/>
              </w:rPr>
              <w:t>教师要求：</w:t>
            </w:r>
            <w:r>
              <w:rPr>
                <w:kern w:val="0"/>
                <w:sz w:val="20"/>
              </w:rPr>
              <w:t>精通至少一种主流财务软件（如用友、金蝶）和财务机器人工具，具备系统实施或维护经验。</w:t>
            </w:r>
          </w:p>
          <w:p w14:paraId="47B7BC50">
            <w:pPr>
              <w:adjustRightInd w:val="0"/>
              <w:snapToGrid w:val="0"/>
              <w:rPr>
                <w:rFonts w:ascii="宋体" w:hAnsi="宋体"/>
                <w:b/>
                <w:bCs/>
                <w:kern w:val="0"/>
                <w:sz w:val="20"/>
                <w:szCs w:val="21"/>
              </w:rPr>
            </w:pPr>
            <w:r>
              <w:rPr>
                <w:rFonts w:hint="eastAsia"/>
                <w:b/>
                <w:bCs/>
                <w:kern w:val="0"/>
                <w:sz w:val="20"/>
              </w:rPr>
              <w:t>学生要求：</w:t>
            </w:r>
            <w:r>
              <w:rPr>
                <w:kern w:val="0"/>
                <w:sz w:val="20"/>
              </w:rPr>
              <w:t>熟练操作财务软件各模块，理解系统间的数据流转关系。</w:t>
            </w:r>
          </w:p>
        </w:tc>
      </w:tr>
      <w:tr w14:paraId="44B7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vAlign w:val="center"/>
          </w:tcPr>
          <w:p w14:paraId="7DE78BD7">
            <w:pPr>
              <w:adjustRightInd w:val="0"/>
              <w:snapToGrid w:val="0"/>
              <w:jc w:val="center"/>
              <w:rPr>
                <w:rFonts w:ascii="宋体" w:hAnsi="宋体"/>
                <w:kern w:val="0"/>
                <w:sz w:val="20"/>
                <w:szCs w:val="21"/>
              </w:rPr>
            </w:pPr>
            <w:r>
              <w:rPr>
                <w:rFonts w:ascii="宋体" w:hAnsi="宋体"/>
                <w:kern w:val="0"/>
                <w:sz w:val="20"/>
                <w:szCs w:val="21"/>
              </w:rPr>
              <w:t>管理会计实务</w:t>
            </w:r>
          </w:p>
        </w:tc>
        <w:tc>
          <w:tcPr>
            <w:tcW w:w="709" w:type="dxa"/>
            <w:vAlign w:val="center"/>
          </w:tcPr>
          <w:p w14:paraId="36ECC1A6">
            <w:pPr>
              <w:adjustRightInd w:val="0"/>
              <w:snapToGrid w:val="0"/>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108</w:t>
            </w:r>
          </w:p>
        </w:tc>
        <w:tc>
          <w:tcPr>
            <w:tcW w:w="2268" w:type="dxa"/>
            <w:vAlign w:val="center"/>
          </w:tcPr>
          <w:p w14:paraId="33CDD19A">
            <w:pPr>
              <w:adjustRightInd w:val="0"/>
              <w:snapToGrid w:val="0"/>
              <w:rPr>
                <w:kern w:val="0"/>
                <w:sz w:val="20"/>
              </w:rPr>
            </w:pPr>
            <w:r>
              <w:rPr>
                <w:kern w:val="0"/>
                <w:sz w:val="20"/>
              </w:rPr>
              <w:t>使学生掌握管理会计的基本工具和方法，能够运用管理会计信息参与企业内部经营管理，进行预测决策、规划控制、绩效评价，为企业创造价值。</w:t>
            </w:r>
          </w:p>
        </w:tc>
        <w:tc>
          <w:tcPr>
            <w:tcW w:w="2268" w:type="dxa"/>
            <w:vAlign w:val="center"/>
          </w:tcPr>
          <w:p w14:paraId="79EEC1AE">
            <w:pPr>
              <w:adjustRightInd w:val="0"/>
              <w:snapToGrid w:val="0"/>
              <w:rPr>
                <w:kern w:val="0"/>
                <w:sz w:val="20"/>
              </w:rPr>
            </w:pPr>
            <w:r>
              <w:rPr>
                <w:kern w:val="0"/>
                <w:sz w:val="20"/>
              </w:rPr>
              <w:t>主要讲授本量利分析、短期经营决策、全面预算管理、责任会计、平衡计分卡、业绩评价、风险管理等内容。</w:t>
            </w:r>
          </w:p>
        </w:tc>
        <w:tc>
          <w:tcPr>
            <w:tcW w:w="2544" w:type="dxa"/>
            <w:vAlign w:val="center"/>
          </w:tcPr>
          <w:p w14:paraId="2A9A8744">
            <w:pPr>
              <w:adjustRightInd w:val="0"/>
              <w:snapToGrid w:val="0"/>
              <w:rPr>
                <w:kern w:val="0"/>
                <w:sz w:val="20"/>
              </w:rPr>
            </w:pPr>
            <w:r>
              <w:rPr>
                <w:rFonts w:hint="eastAsia" w:ascii="宋体" w:hAnsi="宋体"/>
                <w:b/>
                <w:bCs/>
                <w:kern w:val="0"/>
                <w:sz w:val="20"/>
                <w:szCs w:val="21"/>
              </w:rPr>
              <w:t>教师要求：</w:t>
            </w:r>
            <w:r>
              <w:rPr>
                <w:kern w:val="0"/>
                <w:sz w:val="20"/>
              </w:rPr>
              <w:t>具备管理会计实践或咨询经验，能结合企业真实案例进行教学。</w:t>
            </w:r>
          </w:p>
          <w:p w14:paraId="57892E04">
            <w:pPr>
              <w:adjustRightInd w:val="0"/>
              <w:snapToGrid w:val="0"/>
              <w:rPr>
                <w:rFonts w:ascii="宋体" w:hAnsi="宋体"/>
                <w:b/>
                <w:bCs/>
                <w:kern w:val="0"/>
                <w:sz w:val="20"/>
                <w:szCs w:val="21"/>
              </w:rPr>
            </w:pPr>
            <w:r>
              <w:rPr>
                <w:b/>
                <w:bCs/>
                <w:kern w:val="0"/>
                <w:sz w:val="20"/>
              </w:rPr>
              <w:t>学生要求：</w:t>
            </w:r>
            <w:r>
              <w:rPr>
                <w:kern w:val="0"/>
                <w:sz w:val="20"/>
              </w:rPr>
              <w:t>具备数据分析和商业逻辑思维，能运用管理会计工具解决实际管理问题。</w:t>
            </w:r>
          </w:p>
        </w:tc>
      </w:tr>
      <w:tr w14:paraId="6E39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vAlign w:val="center"/>
          </w:tcPr>
          <w:p w14:paraId="33FEA62F">
            <w:pPr>
              <w:adjustRightInd w:val="0"/>
              <w:snapToGrid w:val="0"/>
              <w:jc w:val="center"/>
              <w:rPr>
                <w:rFonts w:ascii="宋体" w:hAnsi="宋体"/>
                <w:kern w:val="0"/>
                <w:sz w:val="20"/>
                <w:szCs w:val="21"/>
              </w:rPr>
            </w:pPr>
            <w:r>
              <w:rPr>
                <w:rFonts w:ascii="宋体" w:hAnsi="宋体"/>
                <w:kern w:val="0"/>
                <w:sz w:val="20"/>
                <w:szCs w:val="21"/>
              </w:rPr>
              <w:t>大数据技术在财务中的应用</w:t>
            </w:r>
          </w:p>
        </w:tc>
        <w:tc>
          <w:tcPr>
            <w:tcW w:w="709" w:type="dxa"/>
            <w:vAlign w:val="center"/>
          </w:tcPr>
          <w:p w14:paraId="4B3A2DBE">
            <w:pPr>
              <w:adjustRightInd w:val="0"/>
              <w:snapToGrid w:val="0"/>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36</w:t>
            </w:r>
          </w:p>
        </w:tc>
        <w:tc>
          <w:tcPr>
            <w:tcW w:w="2268" w:type="dxa"/>
            <w:vAlign w:val="center"/>
          </w:tcPr>
          <w:p w14:paraId="11F9B59B">
            <w:pPr>
              <w:adjustRightInd w:val="0"/>
              <w:snapToGrid w:val="0"/>
              <w:rPr>
                <w:kern w:val="0"/>
                <w:sz w:val="20"/>
              </w:rPr>
            </w:pPr>
            <w:r>
              <w:rPr>
                <w:kern w:val="0"/>
                <w:sz w:val="20"/>
              </w:rPr>
              <w:t>使学生了解大数据技术体系，掌握财务数据的采集、清洗、存储和管理方法，能够运用大数据工具初步构建财务数据分析环境，为高级分析奠定基础。</w:t>
            </w:r>
          </w:p>
        </w:tc>
        <w:tc>
          <w:tcPr>
            <w:tcW w:w="2268" w:type="dxa"/>
            <w:vAlign w:val="center"/>
          </w:tcPr>
          <w:p w14:paraId="33B8BE25">
            <w:pPr>
              <w:adjustRightInd w:val="0"/>
              <w:snapToGrid w:val="0"/>
              <w:rPr>
                <w:kern w:val="0"/>
                <w:sz w:val="20"/>
              </w:rPr>
            </w:pPr>
            <w:r>
              <w:rPr>
                <w:kern w:val="0"/>
                <w:sz w:val="20"/>
              </w:rPr>
              <w:t>主要讲授大数据概念、Hadoop/Spark基础、SQL与NoSQL数据库、网络爬虫（用于获取外部数据）、数据清洗与预处理、数据仓库（ETL）等技术，并聚焦这些技术在财务领域的应用场景。</w:t>
            </w:r>
          </w:p>
        </w:tc>
        <w:tc>
          <w:tcPr>
            <w:tcW w:w="2544" w:type="dxa"/>
            <w:vAlign w:val="center"/>
          </w:tcPr>
          <w:p w14:paraId="7034DF9C">
            <w:pPr>
              <w:adjustRightInd w:val="0"/>
              <w:snapToGrid w:val="0"/>
              <w:rPr>
                <w:kern w:val="0"/>
                <w:sz w:val="20"/>
              </w:rPr>
            </w:pPr>
            <w:r>
              <w:rPr>
                <w:b/>
                <w:bCs/>
                <w:kern w:val="0"/>
                <w:sz w:val="20"/>
              </w:rPr>
              <w:t>教师要求</w:t>
            </w:r>
            <w:r>
              <w:rPr>
                <w:rFonts w:hint="eastAsia"/>
                <w:b/>
                <w:bCs/>
                <w:kern w:val="0"/>
                <w:sz w:val="20"/>
              </w:rPr>
              <w:t>：</w:t>
            </w:r>
            <w:r>
              <w:rPr>
                <w:kern w:val="0"/>
                <w:sz w:val="20"/>
              </w:rPr>
              <w:t>具备跨学科的复合知识背景，精通大数据技术和财务业务。</w:t>
            </w:r>
          </w:p>
          <w:p w14:paraId="51636C2E">
            <w:pPr>
              <w:adjustRightInd w:val="0"/>
              <w:snapToGrid w:val="0"/>
              <w:rPr>
                <w:rFonts w:ascii="宋体" w:hAnsi="宋体"/>
                <w:b/>
                <w:bCs/>
                <w:kern w:val="0"/>
                <w:sz w:val="20"/>
                <w:szCs w:val="21"/>
              </w:rPr>
            </w:pPr>
            <w:r>
              <w:rPr>
                <w:rFonts w:hint="eastAsia"/>
                <w:b/>
                <w:bCs/>
                <w:kern w:val="0"/>
                <w:sz w:val="20"/>
              </w:rPr>
              <w:t>学生要求：</w:t>
            </w:r>
            <w:r>
              <w:rPr>
                <w:kern w:val="0"/>
                <w:sz w:val="20"/>
              </w:rPr>
              <w:t>掌握关键技术的原理和基本操作，能搭建简单的财务数据分析流程。</w:t>
            </w:r>
          </w:p>
        </w:tc>
      </w:tr>
      <w:tr w14:paraId="42DC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vAlign w:val="center"/>
          </w:tcPr>
          <w:p w14:paraId="109210A6">
            <w:pPr>
              <w:adjustRightInd w:val="0"/>
              <w:snapToGrid w:val="0"/>
              <w:jc w:val="center"/>
              <w:rPr>
                <w:rFonts w:ascii="宋体" w:hAnsi="宋体"/>
                <w:kern w:val="0"/>
                <w:sz w:val="20"/>
                <w:szCs w:val="21"/>
              </w:rPr>
            </w:pPr>
            <w:r>
              <w:rPr>
                <w:rFonts w:ascii="宋体" w:hAnsi="宋体"/>
                <w:kern w:val="0"/>
                <w:sz w:val="20"/>
                <w:szCs w:val="21"/>
              </w:rPr>
              <w:t>财务大数据分析</w:t>
            </w:r>
          </w:p>
        </w:tc>
        <w:tc>
          <w:tcPr>
            <w:tcW w:w="709" w:type="dxa"/>
            <w:vAlign w:val="center"/>
          </w:tcPr>
          <w:p w14:paraId="4E957BAF">
            <w:pPr>
              <w:adjustRightInd w:val="0"/>
              <w:snapToGrid w:val="0"/>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36</w:t>
            </w:r>
          </w:p>
        </w:tc>
        <w:tc>
          <w:tcPr>
            <w:tcW w:w="2268" w:type="dxa"/>
            <w:vAlign w:val="center"/>
          </w:tcPr>
          <w:p w14:paraId="57B6B812">
            <w:pPr>
              <w:adjustRightInd w:val="0"/>
              <w:snapToGrid w:val="0"/>
              <w:rPr>
                <w:rFonts w:hint="eastAsia" w:ascii="Songti SC" w:hAnsi="Songti SC"/>
                <w:color w:val="000000"/>
                <w:kern w:val="0"/>
                <w:sz w:val="20"/>
                <w:shd w:val="clear" w:color="auto" w:fill="FFFFFF"/>
              </w:rPr>
            </w:pPr>
            <w:r>
              <w:rPr>
                <w:rFonts w:hint="eastAsia" w:ascii="Songti SC" w:hAnsi="Songti SC"/>
                <w:color w:val="000000"/>
                <w:kern w:val="0"/>
                <w:sz w:val="20"/>
                <w:shd w:val="clear" w:color="auto" w:fill="FFFFFF"/>
              </w:rPr>
              <w:t>使学生掌握利用大数据分析工具进行财务数据挖掘、可视化分析和洞察的能力，能够构建财务分析模型，对企业财务状况、经营成果和风险进行预测和评价，支持管理决策。</w:t>
            </w:r>
          </w:p>
        </w:tc>
        <w:tc>
          <w:tcPr>
            <w:tcW w:w="2268" w:type="dxa"/>
            <w:vAlign w:val="center"/>
          </w:tcPr>
          <w:p w14:paraId="17C08008">
            <w:pPr>
              <w:adjustRightInd w:val="0"/>
              <w:snapToGrid w:val="0"/>
              <w:rPr>
                <w:kern w:val="0"/>
                <w:sz w:val="20"/>
              </w:rPr>
            </w:pPr>
            <w:r>
              <w:rPr>
                <w:kern w:val="0"/>
                <w:sz w:val="20"/>
              </w:rPr>
              <w:t>主要讲授财务数据分析模型、可视化技术（如Tableau、Power BI）、客户与供应商分析、风险预警、经营绩效分析、投资决策分析等，并通过综合案例进行实战训练。</w:t>
            </w:r>
          </w:p>
        </w:tc>
        <w:tc>
          <w:tcPr>
            <w:tcW w:w="2544" w:type="dxa"/>
            <w:vAlign w:val="center"/>
          </w:tcPr>
          <w:p w14:paraId="2C3BB110">
            <w:pPr>
              <w:adjustRightInd w:val="0"/>
              <w:snapToGrid w:val="0"/>
              <w:rPr>
                <w:rFonts w:hint="eastAsia" w:ascii="Songti SC" w:hAnsi="Songti SC" w:eastAsia="宋体"/>
                <w:color w:val="000000"/>
                <w:kern w:val="0"/>
                <w:sz w:val="20"/>
                <w:shd w:val="clear" w:color="auto" w:fill="FFFFFF"/>
                <w:lang w:eastAsia="zh-CN"/>
              </w:rPr>
            </w:pPr>
            <w:r>
              <w:rPr>
                <w:rFonts w:hint="eastAsia" w:ascii="宋体" w:hAnsi="宋体"/>
                <w:b/>
                <w:bCs/>
                <w:kern w:val="0"/>
                <w:sz w:val="20"/>
                <w:szCs w:val="21"/>
              </w:rPr>
              <w:t>教师要求：</w:t>
            </w:r>
            <w:r>
              <w:rPr>
                <w:rFonts w:hint="eastAsia" w:ascii="Songti SC" w:hAnsi="Songti SC"/>
                <w:color w:val="000000"/>
                <w:kern w:val="0"/>
                <w:sz w:val="20"/>
                <w:shd w:val="clear" w:color="auto" w:fill="FFFFFF"/>
              </w:rPr>
              <w:t>精通数据分析工具和财务建模，有丰富的案例库</w:t>
            </w:r>
            <w:r>
              <w:rPr>
                <w:rFonts w:hint="eastAsia" w:ascii="Songti SC" w:hAnsi="Songti SC"/>
                <w:color w:val="000000"/>
                <w:kern w:val="0"/>
                <w:sz w:val="20"/>
                <w:shd w:val="clear" w:color="auto" w:fill="FFFFFF"/>
                <w:lang w:eastAsia="zh-CN"/>
              </w:rPr>
              <w:t>。</w:t>
            </w:r>
          </w:p>
          <w:p w14:paraId="4EFC5F30">
            <w:pPr>
              <w:adjustRightInd w:val="0"/>
              <w:snapToGrid w:val="0"/>
              <w:rPr>
                <w:b/>
                <w:bCs/>
                <w:kern w:val="0"/>
                <w:sz w:val="20"/>
              </w:rPr>
            </w:pPr>
            <w:r>
              <w:rPr>
                <w:rFonts w:hint="eastAsia"/>
                <w:b/>
                <w:bCs/>
                <w:kern w:val="0"/>
                <w:sz w:val="20"/>
              </w:rPr>
              <w:t>学生要求：</w:t>
            </w:r>
            <w:r>
              <w:rPr>
                <w:kern w:val="0"/>
                <w:sz w:val="20"/>
              </w:rPr>
              <w:t>能够综合运用所学技术和财务知识，独立完成一项完整的财务大数据分析项目。</w:t>
            </w:r>
          </w:p>
        </w:tc>
      </w:tr>
    </w:tbl>
    <w:p w14:paraId="7C216ECC">
      <w:pPr>
        <w:adjustRightInd w:val="0"/>
        <w:snapToGrid w:val="0"/>
        <w:spacing w:line="480" w:lineRule="exact"/>
        <w:ind w:firstLine="480" w:firstLineChars="200"/>
        <w:rPr>
          <w:rFonts w:ascii="楷体" w:hAnsi="楷体" w:eastAsia="楷体"/>
          <w:sz w:val="24"/>
        </w:rPr>
      </w:pPr>
      <w:r>
        <w:rPr>
          <w:rFonts w:hint="eastAsia" w:ascii="楷体" w:hAnsi="楷体" w:eastAsia="楷体"/>
          <w:sz w:val="24"/>
        </w:rPr>
        <w:t>（五）素质拓展课程</w:t>
      </w:r>
    </w:p>
    <w:p w14:paraId="7BEA9F0D">
      <w:pPr>
        <w:adjustRightInd w:val="0"/>
        <w:snapToGrid w:val="0"/>
        <w:spacing w:line="480" w:lineRule="exact"/>
        <w:ind w:firstLine="480" w:firstLineChars="200"/>
        <w:rPr>
          <w:rFonts w:hint="eastAsia" w:ascii="宋体" w:hAnsi="宋体" w:eastAsia="宋体" w:cs="Times New Roman"/>
          <w:color w:val="000000" w:themeColor="text1"/>
          <w:kern w:val="0"/>
          <w:sz w:val="24"/>
          <w:szCs w:val="22"/>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2"/>
          <w:lang w:val="en-US" w:eastAsia="zh-CN" w:bidi="ar-SA"/>
          <w14:textFill>
            <w14:solidFill>
              <w14:schemeClr w14:val="tx1"/>
            </w14:solidFill>
          </w14:textFill>
        </w:rPr>
        <w:t>素质拓展课程主要包括：财政金融基础、Excel在会计中的应用、中国会计文化、 行业会计比较、会计制度设计、市场营销、企业财务管理、音乐鉴赏、新媒体营销、企业内部控制、安全教育、美术鉴赏等课程。</w:t>
      </w:r>
    </w:p>
    <w:p w14:paraId="59D2EFE9">
      <w:pPr>
        <w:adjustRightInd w:val="0"/>
        <w:snapToGrid w:val="0"/>
        <w:spacing w:line="480" w:lineRule="exact"/>
        <w:ind w:firstLine="420" w:firstLineChars="200"/>
      </w:pPr>
      <w:r>
        <w:rPr>
          <w:rFonts w:hint="eastAsia"/>
        </w:rPr>
        <w:t>素质拓展课程具体描述如下：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09"/>
        <w:gridCol w:w="2268"/>
        <w:gridCol w:w="2268"/>
        <w:gridCol w:w="2544"/>
      </w:tblGrid>
      <w:tr w14:paraId="5A0E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vAlign w:val="center"/>
          </w:tcPr>
          <w:p w14:paraId="76EDA018">
            <w:pPr>
              <w:adjustRightInd w:val="0"/>
              <w:snapToGrid w:val="0"/>
              <w:jc w:val="center"/>
              <w:rPr>
                <w:rFonts w:ascii="宋体" w:hAnsi="宋体"/>
                <w:b/>
                <w:bCs/>
                <w:kern w:val="0"/>
                <w:sz w:val="21"/>
                <w:szCs w:val="21"/>
              </w:rPr>
            </w:pPr>
            <w:r>
              <w:rPr>
                <w:rFonts w:hint="eastAsia" w:ascii="宋体" w:hAnsi="宋体"/>
                <w:b/>
                <w:bCs/>
                <w:kern w:val="0"/>
                <w:sz w:val="21"/>
                <w:szCs w:val="21"/>
              </w:rPr>
              <w:t>课程名称</w:t>
            </w:r>
          </w:p>
        </w:tc>
        <w:tc>
          <w:tcPr>
            <w:tcW w:w="709" w:type="dxa"/>
            <w:vAlign w:val="center"/>
          </w:tcPr>
          <w:p w14:paraId="1523BB79">
            <w:pPr>
              <w:adjustRightInd w:val="0"/>
              <w:snapToGrid w:val="0"/>
              <w:jc w:val="center"/>
              <w:rPr>
                <w:rFonts w:ascii="宋体" w:hAnsi="宋体"/>
                <w:b/>
                <w:bCs/>
                <w:kern w:val="0"/>
                <w:sz w:val="21"/>
                <w:szCs w:val="21"/>
              </w:rPr>
            </w:pPr>
            <w:r>
              <w:rPr>
                <w:rFonts w:hint="eastAsia" w:ascii="宋体" w:hAnsi="宋体"/>
                <w:b/>
                <w:bCs/>
                <w:kern w:val="0"/>
                <w:sz w:val="21"/>
                <w:szCs w:val="21"/>
              </w:rPr>
              <w:t>教学时数</w:t>
            </w:r>
          </w:p>
        </w:tc>
        <w:tc>
          <w:tcPr>
            <w:tcW w:w="2268" w:type="dxa"/>
            <w:vAlign w:val="center"/>
          </w:tcPr>
          <w:p w14:paraId="16DBC316">
            <w:pPr>
              <w:adjustRightInd w:val="0"/>
              <w:snapToGrid w:val="0"/>
              <w:jc w:val="center"/>
              <w:rPr>
                <w:rFonts w:ascii="宋体" w:hAnsi="宋体"/>
                <w:b/>
                <w:bCs/>
                <w:kern w:val="0"/>
                <w:sz w:val="21"/>
                <w:szCs w:val="21"/>
              </w:rPr>
            </w:pPr>
            <w:r>
              <w:rPr>
                <w:rFonts w:hint="eastAsia" w:ascii="宋体" w:hAnsi="宋体"/>
                <w:b/>
                <w:bCs/>
                <w:kern w:val="0"/>
                <w:sz w:val="21"/>
                <w:szCs w:val="21"/>
              </w:rPr>
              <w:t>课程目标</w:t>
            </w:r>
          </w:p>
        </w:tc>
        <w:tc>
          <w:tcPr>
            <w:tcW w:w="2268" w:type="dxa"/>
            <w:vAlign w:val="center"/>
          </w:tcPr>
          <w:p w14:paraId="07D7EA54">
            <w:pPr>
              <w:adjustRightInd w:val="0"/>
              <w:snapToGrid w:val="0"/>
              <w:jc w:val="center"/>
              <w:rPr>
                <w:rFonts w:ascii="宋体" w:hAnsi="宋体"/>
                <w:b/>
                <w:bCs/>
                <w:kern w:val="0"/>
                <w:sz w:val="21"/>
                <w:szCs w:val="21"/>
              </w:rPr>
            </w:pPr>
            <w:r>
              <w:rPr>
                <w:rFonts w:hint="eastAsia" w:ascii="宋体" w:hAnsi="宋体"/>
                <w:b/>
                <w:bCs/>
                <w:kern w:val="0"/>
                <w:sz w:val="21"/>
                <w:szCs w:val="21"/>
              </w:rPr>
              <w:t>教学内容</w:t>
            </w:r>
          </w:p>
        </w:tc>
        <w:tc>
          <w:tcPr>
            <w:tcW w:w="2544" w:type="dxa"/>
            <w:vAlign w:val="center"/>
          </w:tcPr>
          <w:p w14:paraId="01454900">
            <w:pPr>
              <w:adjustRightInd w:val="0"/>
              <w:snapToGrid w:val="0"/>
              <w:jc w:val="center"/>
              <w:rPr>
                <w:rFonts w:ascii="宋体" w:hAnsi="宋体"/>
                <w:b/>
                <w:bCs/>
                <w:kern w:val="0"/>
                <w:sz w:val="21"/>
                <w:szCs w:val="21"/>
              </w:rPr>
            </w:pPr>
            <w:r>
              <w:rPr>
                <w:rFonts w:hint="eastAsia" w:ascii="宋体" w:hAnsi="宋体"/>
                <w:b/>
                <w:bCs/>
                <w:kern w:val="0"/>
                <w:sz w:val="21"/>
                <w:szCs w:val="21"/>
              </w:rPr>
              <w:t>教学要求</w:t>
            </w:r>
          </w:p>
        </w:tc>
      </w:tr>
      <w:tr w14:paraId="7F814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vAlign w:val="center"/>
          </w:tcPr>
          <w:p w14:paraId="13DD6C6F">
            <w:pPr>
              <w:adjustRightInd w:val="0"/>
              <w:snapToGrid w:val="0"/>
              <w:jc w:val="center"/>
              <w:rPr>
                <w:rFonts w:ascii="宋体" w:hAnsi="宋体"/>
                <w:kern w:val="0"/>
                <w:sz w:val="20"/>
                <w:szCs w:val="21"/>
              </w:rPr>
            </w:pPr>
            <w:r>
              <w:rPr>
                <w:rFonts w:ascii="宋体" w:hAnsi="宋体"/>
                <w:kern w:val="0"/>
                <w:sz w:val="20"/>
                <w:szCs w:val="21"/>
              </w:rPr>
              <w:t>财政金融基础</w:t>
            </w:r>
          </w:p>
        </w:tc>
        <w:tc>
          <w:tcPr>
            <w:tcW w:w="709" w:type="dxa"/>
            <w:vAlign w:val="center"/>
          </w:tcPr>
          <w:p w14:paraId="30959B04">
            <w:pPr>
              <w:adjustRightInd w:val="0"/>
              <w:snapToGrid w:val="0"/>
              <w:jc w:val="center"/>
              <w:rPr>
                <w:rFonts w:ascii="宋体" w:hAnsi="宋体"/>
                <w:kern w:val="0"/>
                <w:sz w:val="20"/>
                <w:szCs w:val="21"/>
              </w:rPr>
            </w:pPr>
            <w:r>
              <w:rPr>
                <w:rFonts w:hint="eastAsia" w:ascii="宋体" w:hAnsi="宋体"/>
                <w:kern w:val="0"/>
                <w:sz w:val="20"/>
                <w:szCs w:val="21"/>
              </w:rPr>
              <w:t>5</w:t>
            </w:r>
            <w:r>
              <w:rPr>
                <w:rFonts w:ascii="宋体" w:hAnsi="宋体"/>
                <w:kern w:val="0"/>
                <w:sz w:val="20"/>
                <w:szCs w:val="21"/>
              </w:rPr>
              <w:t>2</w:t>
            </w:r>
          </w:p>
        </w:tc>
        <w:tc>
          <w:tcPr>
            <w:tcW w:w="2268" w:type="dxa"/>
            <w:vAlign w:val="center"/>
          </w:tcPr>
          <w:p w14:paraId="7668C73C">
            <w:pPr>
              <w:adjustRightInd w:val="0"/>
              <w:snapToGrid w:val="0"/>
              <w:rPr>
                <w:kern w:val="0"/>
                <w:sz w:val="20"/>
              </w:rPr>
            </w:pPr>
            <w:r>
              <w:rPr>
                <w:kern w:val="0"/>
                <w:sz w:val="20"/>
              </w:rPr>
              <w:t>使学生了解财政与金融的基本理论和基础知识，理解宏观经济政策与市场运行机制，具备分析财政、货币政策对企业和个人经济活动影响的基本能力。</w:t>
            </w:r>
          </w:p>
        </w:tc>
        <w:tc>
          <w:tcPr>
            <w:tcW w:w="2268" w:type="dxa"/>
            <w:vAlign w:val="center"/>
          </w:tcPr>
          <w:p w14:paraId="2CB04062">
            <w:pPr>
              <w:adjustRightInd w:val="0"/>
              <w:snapToGrid w:val="0"/>
              <w:rPr>
                <w:kern w:val="0"/>
                <w:sz w:val="20"/>
              </w:rPr>
            </w:pPr>
            <w:r>
              <w:rPr>
                <w:kern w:val="0"/>
                <w:sz w:val="20"/>
              </w:rPr>
              <w:t>主要讲授财政职能与支出、财政收入与税收概论、国家预算、货币与货币制度、信用与利率、金融机构体系、金融市场、货币政策等基本内容。</w:t>
            </w:r>
          </w:p>
        </w:tc>
        <w:tc>
          <w:tcPr>
            <w:tcW w:w="2544" w:type="dxa"/>
            <w:vAlign w:val="center"/>
          </w:tcPr>
          <w:p w14:paraId="2964D026">
            <w:pPr>
              <w:adjustRightInd w:val="0"/>
              <w:snapToGrid w:val="0"/>
              <w:rPr>
                <w:kern w:val="0"/>
                <w:sz w:val="20"/>
              </w:rPr>
            </w:pPr>
            <w:r>
              <w:rPr>
                <w:rFonts w:hint="eastAsia" w:ascii="宋体" w:hAnsi="宋体"/>
                <w:b/>
                <w:bCs/>
                <w:kern w:val="0"/>
                <w:sz w:val="20"/>
                <w:szCs w:val="21"/>
              </w:rPr>
              <w:t>教师要求：</w:t>
            </w:r>
            <w:r>
              <w:rPr>
                <w:kern w:val="0"/>
                <w:sz w:val="20"/>
              </w:rPr>
              <w:t>具备宏观经济学和金融学知识背景，能结合当前财政金融热点进行讲解。</w:t>
            </w:r>
          </w:p>
          <w:p w14:paraId="00A2C58C">
            <w:pPr>
              <w:adjustRightInd w:val="0"/>
              <w:snapToGrid w:val="0"/>
              <w:rPr>
                <w:b/>
                <w:bCs/>
                <w:kern w:val="0"/>
                <w:sz w:val="20"/>
              </w:rPr>
            </w:pPr>
            <w:r>
              <w:rPr>
                <w:rFonts w:hint="eastAsia"/>
                <w:b/>
                <w:bCs/>
                <w:kern w:val="0"/>
                <w:sz w:val="20"/>
              </w:rPr>
              <w:t>学生要求：</w:t>
            </w:r>
            <w:r>
              <w:rPr>
                <w:kern w:val="0"/>
                <w:sz w:val="20"/>
              </w:rPr>
              <w:t>关注经济时事，能够理解并分析基本的财政金融现象。</w:t>
            </w:r>
          </w:p>
        </w:tc>
      </w:tr>
      <w:tr w14:paraId="0E2D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vAlign w:val="center"/>
          </w:tcPr>
          <w:p w14:paraId="0ED3B779">
            <w:pPr>
              <w:adjustRightInd w:val="0"/>
              <w:snapToGrid w:val="0"/>
              <w:jc w:val="center"/>
              <w:rPr>
                <w:rFonts w:ascii="宋体" w:hAnsi="宋体"/>
                <w:kern w:val="0"/>
                <w:sz w:val="20"/>
                <w:szCs w:val="21"/>
              </w:rPr>
            </w:pPr>
            <w:r>
              <w:rPr>
                <w:rFonts w:ascii="宋体" w:hAnsi="宋体"/>
                <w:kern w:val="0"/>
                <w:sz w:val="20"/>
                <w:szCs w:val="21"/>
              </w:rPr>
              <w:t>Excel在会计中的应用</w:t>
            </w:r>
          </w:p>
        </w:tc>
        <w:tc>
          <w:tcPr>
            <w:tcW w:w="709" w:type="dxa"/>
            <w:vAlign w:val="center"/>
          </w:tcPr>
          <w:p w14:paraId="6B325381">
            <w:pPr>
              <w:adjustRightInd w:val="0"/>
              <w:snapToGrid w:val="0"/>
              <w:jc w:val="center"/>
              <w:rPr>
                <w:rFonts w:ascii="宋体" w:hAnsi="宋体"/>
                <w:kern w:val="0"/>
                <w:sz w:val="20"/>
                <w:szCs w:val="21"/>
              </w:rPr>
            </w:pPr>
            <w:r>
              <w:rPr>
                <w:rFonts w:ascii="宋体" w:hAnsi="宋体"/>
                <w:kern w:val="0"/>
                <w:sz w:val="20"/>
                <w:szCs w:val="21"/>
              </w:rPr>
              <w:t>52</w:t>
            </w:r>
          </w:p>
        </w:tc>
        <w:tc>
          <w:tcPr>
            <w:tcW w:w="2268" w:type="dxa"/>
            <w:vAlign w:val="center"/>
          </w:tcPr>
          <w:p w14:paraId="04BA5EB3">
            <w:pPr>
              <w:adjustRightInd w:val="0"/>
              <w:snapToGrid w:val="0"/>
              <w:rPr>
                <w:kern w:val="0"/>
                <w:sz w:val="20"/>
              </w:rPr>
            </w:pPr>
            <w:r>
              <w:rPr>
                <w:kern w:val="0"/>
                <w:sz w:val="20"/>
              </w:rPr>
              <w:t>使学生熟练掌握Excel在会计、财务工作中的高级应用技巧，能够利用Excel高效完成数据处理、会计核算、财务建模和数据分析工作，提升工作效率。</w:t>
            </w:r>
          </w:p>
        </w:tc>
        <w:tc>
          <w:tcPr>
            <w:tcW w:w="2268" w:type="dxa"/>
            <w:vAlign w:val="center"/>
          </w:tcPr>
          <w:p w14:paraId="7CCF9C9D">
            <w:pPr>
              <w:adjustRightInd w:val="0"/>
              <w:snapToGrid w:val="0"/>
              <w:rPr>
                <w:kern w:val="0"/>
                <w:sz w:val="20"/>
              </w:rPr>
            </w:pPr>
            <w:r>
              <w:rPr>
                <w:kern w:val="0"/>
                <w:sz w:val="20"/>
              </w:rPr>
              <w:t>主要讲授高级数据筛选与整理、常用财务函数（如PV, FV, NPV, IRR）、数据透视表、图表制作、宏与VBA基础、以及利用Excel进行账务处理、工资核算、报表编制和财务分析等综合应用。</w:t>
            </w:r>
          </w:p>
        </w:tc>
        <w:tc>
          <w:tcPr>
            <w:tcW w:w="2544" w:type="dxa"/>
            <w:vAlign w:val="center"/>
          </w:tcPr>
          <w:p w14:paraId="7B417026">
            <w:pPr>
              <w:adjustRightInd w:val="0"/>
              <w:snapToGrid w:val="0"/>
              <w:rPr>
                <w:kern w:val="0"/>
                <w:sz w:val="20"/>
              </w:rPr>
            </w:pPr>
            <w:r>
              <w:rPr>
                <w:rFonts w:hint="eastAsia" w:ascii="宋体" w:hAnsi="宋体"/>
                <w:b/>
                <w:bCs/>
                <w:kern w:val="0"/>
                <w:sz w:val="20"/>
                <w:szCs w:val="21"/>
              </w:rPr>
              <w:t>教师要求：</w:t>
            </w:r>
            <w:r>
              <w:rPr>
                <w:rFonts w:hint="eastAsia"/>
                <w:kern w:val="0"/>
                <w:sz w:val="20"/>
              </w:rPr>
              <w:t>精通Excel高级功能，具备丰富的财务应用实战经验。</w:t>
            </w:r>
          </w:p>
          <w:p w14:paraId="43B83DF4">
            <w:pPr>
              <w:adjustRightInd w:val="0"/>
              <w:snapToGrid w:val="0"/>
              <w:rPr>
                <w:rFonts w:ascii="宋体" w:hAnsi="宋体"/>
                <w:b/>
                <w:bCs/>
                <w:kern w:val="0"/>
                <w:sz w:val="20"/>
                <w:szCs w:val="21"/>
              </w:rPr>
            </w:pPr>
            <w:r>
              <w:rPr>
                <w:rFonts w:hint="eastAsia"/>
                <w:b/>
                <w:bCs/>
                <w:kern w:val="0"/>
                <w:sz w:val="20"/>
              </w:rPr>
              <w:t>学生要求：</w:t>
            </w:r>
            <w:r>
              <w:rPr>
                <w:kern w:val="0"/>
                <w:sz w:val="20"/>
              </w:rPr>
              <w:t>大量上机练习，能够独立运用Excel解决复杂的财务实际问题。</w:t>
            </w:r>
          </w:p>
        </w:tc>
      </w:tr>
      <w:tr w14:paraId="35B7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vAlign w:val="center"/>
          </w:tcPr>
          <w:p w14:paraId="430CCDFA">
            <w:pPr>
              <w:adjustRightInd w:val="0"/>
              <w:snapToGrid w:val="0"/>
              <w:jc w:val="center"/>
              <w:rPr>
                <w:rFonts w:ascii="宋体" w:hAnsi="宋体"/>
                <w:kern w:val="0"/>
                <w:sz w:val="20"/>
                <w:szCs w:val="21"/>
              </w:rPr>
            </w:pPr>
            <w:r>
              <w:rPr>
                <w:rFonts w:ascii="宋体" w:hAnsi="宋体"/>
                <w:kern w:val="0"/>
                <w:sz w:val="20"/>
                <w:szCs w:val="21"/>
              </w:rPr>
              <w:t>中国会计文化</w:t>
            </w:r>
          </w:p>
        </w:tc>
        <w:tc>
          <w:tcPr>
            <w:tcW w:w="709" w:type="dxa"/>
            <w:vAlign w:val="center"/>
          </w:tcPr>
          <w:p w14:paraId="5D46CB4E">
            <w:pPr>
              <w:adjustRightInd w:val="0"/>
              <w:snapToGrid w:val="0"/>
              <w:jc w:val="center"/>
              <w:rPr>
                <w:rFonts w:ascii="宋体" w:hAnsi="宋体"/>
                <w:kern w:val="0"/>
                <w:sz w:val="20"/>
                <w:szCs w:val="21"/>
              </w:rPr>
            </w:pPr>
            <w:r>
              <w:rPr>
                <w:rFonts w:hint="eastAsia" w:ascii="宋体" w:hAnsi="宋体"/>
                <w:kern w:val="0"/>
                <w:sz w:val="20"/>
                <w:szCs w:val="21"/>
              </w:rPr>
              <w:t>5</w:t>
            </w:r>
            <w:r>
              <w:rPr>
                <w:rFonts w:ascii="宋体" w:hAnsi="宋体"/>
                <w:kern w:val="0"/>
                <w:sz w:val="20"/>
                <w:szCs w:val="21"/>
              </w:rPr>
              <w:t>2</w:t>
            </w:r>
          </w:p>
        </w:tc>
        <w:tc>
          <w:tcPr>
            <w:tcW w:w="2268" w:type="dxa"/>
            <w:vAlign w:val="center"/>
          </w:tcPr>
          <w:p w14:paraId="7FF26738">
            <w:pPr>
              <w:adjustRightInd w:val="0"/>
              <w:snapToGrid w:val="0"/>
              <w:rPr>
                <w:rFonts w:ascii="宋体" w:hAnsi="宋体"/>
                <w:b/>
                <w:bCs/>
                <w:kern w:val="0"/>
                <w:sz w:val="20"/>
                <w:szCs w:val="21"/>
              </w:rPr>
            </w:pPr>
            <w:r>
              <w:rPr>
                <w:kern w:val="0"/>
                <w:sz w:val="20"/>
              </w:rPr>
              <w:t>使学生了解中国会计发展的历史脉络与文化内涵，理解诚信、客观、公正的会计职业道德的历史渊源，增强职业荣誉感与文化自信，培育工匠精神和职业伦理</w:t>
            </w:r>
            <w:r>
              <w:rPr>
                <w:rFonts w:ascii="宋体" w:hAnsi="宋体"/>
                <w:b/>
                <w:bCs/>
                <w:kern w:val="0"/>
                <w:sz w:val="20"/>
                <w:szCs w:val="21"/>
              </w:rPr>
              <w:t>。</w:t>
            </w:r>
          </w:p>
        </w:tc>
        <w:tc>
          <w:tcPr>
            <w:tcW w:w="2268" w:type="dxa"/>
            <w:vAlign w:val="center"/>
          </w:tcPr>
          <w:p w14:paraId="116EC12A">
            <w:pPr>
              <w:adjustRightInd w:val="0"/>
              <w:snapToGrid w:val="0"/>
              <w:rPr>
                <w:rFonts w:ascii="宋体" w:hAnsi="宋体"/>
                <w:b/>
                <w:bCs/>
                <w:kern w:val="0"/>
                <w:sz w:val="20"/>
                <w:szCs w:val="21"/>
              </w:rPr>
            </w:pPr>
            <w:r>
              <w:rPr>
                <w:kern w:val="0"/>
                <w:sz w:val="20"/>
              </w:rPr>
              <w:t>主要讲授中国会计历史演进（如结绳记事、龙门账、四柱清册等）、会计名家与思想、会计职业道德的传统根基、中外会计文化比较、以及现代会计文化构建等内容。</w:t>
            </w:r>
          </w:p>
        </w:tc>
        <w:tc>
          <w:tcPr>
            <w:tcW w:w="2544" w:type="dxa"/>
            <w:vAlign w:val="center"/>
          </w:tcPr>
          <w:p w14:paraId="0593A1C2">
            <w:pPr>
              <w:adjustRightInd w:val="0"/>
              <w:snapToGrid w:val="0"/>
              <w:rPr>
                <w:kern w:val="0"/>
                <w:sz w:val="20"/>
              </w:rPr>
            </w:pPr>
            <w:r>
              <w:rPr>
                <w:b/>
                <w:bCs/>
                <w:kern w:val="0"/>
                <w:sz w:val="20"/>
              </w:rPr>
              <w:t>教师要求：</w:t>
            </w:r>
            <w:r>
              <w:rPr>
                <w:kern w:val="0"/>
                <w:sz w:val="20"/>
              </w:rPr>
              <w:t>具备会计史学和文化学研究背景，授课生动有趣。</w:t>
            </w:r>
          </w:p>
          <w:p w14:paraId="60F5186F">
            <w:pPr>
              <w:adjustRightInd w:val="0"/>
              <w:snapToGrid w:val="0"/>
              <w:rPr>
                <w:rFonts w:ascii="宋体" w:hAnsi="宋体"/>
                <w:b/>
                <w:bCs/>
                <w:kern w:val="0"/>
                <w:sz w:val="20"/>
                <w:szCs w:val="21"/>
              </w:rPr>
            </w:pPr>
            <w:r>
              <w:rPr>
                <w:rFonts w:hint="eastAsia"/>
                <w:b/>
                <w:bCs/>
                <w:kern w:val="0"/>
                <w:sz w:val="20"/>
              </w:rPr>
              <w:t>学生要求：</w:t>
            </w:r>
            <w:r>
              <w:rPr>
                <w:kern w:val="0"/>
                <w:sz w:val="20"/>
              </w:rPr>
              <w:t>积极参与课堂研讨，撰写心得体会，提升人文素养和职业认同。</w:t>
            </w:r>
          </w:p>
        </w:tc>
      </w:tr>
      <w:tr w14:paraId="6AEA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vAlign w:val="center"/>
          </w:tcPr>
          <w:p w14:paraId="648CECAC">
            <w:pPr>
              <w:adjustRightInd w:val="0"/>
              <w:snapToGrid w:val="0"/>
              <w:jc w:val="center"/>
              <w:rPr>
                <w:rFonts w:ascii="宋体" w:hAnsi="宋体"/>
                <w:kern w:val="0"/>
                <w:sz w:val="20"/>
                <w:szCs w:val="21"/>
              </w:rPr>
            </w:pPr>
            <w:r>
              <w:rPr>
                <w:rFonts w:ascii="宋体" w:hAnsi="宋体"/>
                <w:kern w:val="0"/>
                <w:sz w:val="20"/>
                <w:szCs w:val="21"/>
              </w:rPr>
              <w:t>审计基础与实务</w:t>
            </w:r>
          </w:p>
        </w:tc>
        <w:tc>
          <w:tcPr>
            <w:tcW w:w="709" w:type="dxa"/>
            <w:vAlign w:val="center"/>
          </w:tcPr>
          <w:p w14:paraId="0D60683E">
            <w:pPr>
              <w:adjustRightInd w:val="0"/>
              <w:snapToGrid w:val="0"/>
              <w:jc w:val="center"/>
              <w:rPr>
                <w:rFonts w:ascii="宋体" w:hAnsi="宋体"/>
                <w:kern w:val="0"/>
                <w:sz w:val="20"/>
                <w:szCs w:val="21"/>
              </w:rPr>
            </w:pPr>
            <w:r>
              <w:rPr>
                <w:rFonts w:hint="eastAsia" w:ascii="宋体" w:hAnsi="宋体"/>
                <w:kern w:val="0"/>
                <w:sz w:val="20"/>
                <w:szCs w:val="21"/>
              </w:rPr>
              <w:t>5</w:t>
            </w:r>
            <w:r>
              <w:rPr>
                <w:rFonts w:ascii="宋体" w:hAnsi="宋体"/>
                <w:kern w:val="0"/>
                <w:sz w:val="20"/>
                <w:szCs w:val="21"/>
              </w:rPr>
              <w:t>2</w:t>
            </w:r>
          </w:p>
        </w:tc>
        <w:tc>
          <w:tcPr>
            <w:tcW w:w="2268" w:type="dxa"/>
            <w:vAlign w:val="center"/>
          </w:tcPr>
          <w:p w14:paraId="468BB943">
            <w:pPr>
              <w:adjustRightInd w:val="0"/>
              <w:snapToGrid w:val="0"/>
              <w:rPr>
                <w:kern w:val="0"/>
                <w:sz w:val="20"/>
              </w:rPr>
            </w:pPr>
            <w:r>
              <w:rPr>
                <w:kern w:val="0"/>
                <w:sz w:val="20"/>
              </w:rPr>
              <w:t>使学生掌握审计的基本理论、基本方法和基本程序，了解内部控制测试和实质性程序的应用，能够初步运用审计技能参与财务报表审计工作。</w:t>
            </w:r>
          </w:p>
        </w:tc>
        <w:tc>
          <w:tcPr>
            <w:tcW w:w="2268" w:type="dxa"/>
            <w:vAlign w:val="center"/>
          </w:tcPr>
          <w:p w14:paraId="794F15A7">
            <w:pPr>
              <w:adjustRightInd w:val="0"/>
              <w:snapToGrid w:val="0"/>
              <w:rPr>
                <w:kern w:val="0"/>
                <w:sz w:val="20"/>
              </w:rPr>
            </w:pPr>
            <w:r>
              <w:rPr>
                <w:rFonts w:hint="eastAsia"/>
                <w:kern w:val="0"/>
                <w:sz w:val="20"/>
              </w:rPr>
              <w:t>主要讲授审计概论与职业道德、审计证据与工作底稿、风险评估与内部控制、审计抽样、销售与收款循环审计、采购与付款循环审计、货币资金审计、审计报告等内容。</w:t>
            </w:r>
          </w:p>
        </w:tc>
        <w:tc>
          <w:tcPr>
            <w:tcW w:w="2544" w:type="dxa"/>
            <w:vAlign w:val="center"/>
          </w:tcPr>
          <w:p w14:paraId="2A0BC4F0">
            <w:pPr>
              <w:adjustRightInd w:val="0"/>
              <w:snapToGrid w:val="0"/>
              <w:rPr>
                <w:kern w:val="0"/>
                <w:sz w:val="20"/>
              </w:rPr>
            </w:pPr>
            <w:r>
              <w:rPr>
                <w:rFonts w:hint="eastAsia" w:ascii="宋体" w:hAnsi="宋体"/>
                <w:b/>
                <w:bCs/>
                <w:kern w:val="0"/>
                <w:sz w:val="20"/>
                <w:szCs w:val="21"/>
              </w:rPr>
              <w:t>教师要求：</w:t>
            </w:r>
            <w:r>
              <w:rPr>
                <w:rFonts w:hint="eastAsia" w:ascii="宋体" w:hAnsi="宋体"/>
                <w:kern w:val="0"/>
                <w:sz w:val="20"/>
                <w:szCs w:val="21"/>
              </w:rPr>
              <w:t>具备综</w:t>
            </w:r>
            <w:r>
              <w:rPr>
                <w:kern w:val="0"/>
                <w:sz w:val="20"/>
              </w:rPr>
              <w:t>合性教学能力</w:t>
            </w:r>
            <w:r>
              <w:rPr>
                <w:rFonts w:hint="eastAsia"/>
                <w:kern w:val="0"/>
                <w:sz w:val="20"/>
              </w:rPr>
              <w:t>和丰富的实践经验。</w:t>
            </w:r>
          </w:p>
          <w:p w14:paraId="69FEB175">
            <w:pPr>
              <w:adjustRightInd w:val="0"/>
              <w:snapToGrid w:val="0"/>
              <w:rPr>
                <w:b/>
                <w:bCs/>
                <w:kern w:val="0"/>
                <w:sz w:val="20"/>
              </w:rPr>
            </w:pPr>
            <w:r>
              <w:rPr>
                <w:rFonts w:hint="eastAsia"/>
                <w:b/>
                <w:bCs/>
                <w:kern w:val="0"/>
                <w:sz w:val="20"/>
              </w:rPr>
              <w:t>学生要求：</w:t>
            </w:r>
            <w:r>
              <w:rPr>
                <w:rFonts w:hint="eastAsia"/>
                <w:kern w:val="0"/>
                <w:sz w:val="20"/>
              </w:rPr>
              <w:t>掌握审计流程和方法，能完成主要循环的审计程序练习。</w:t>
            </w:r>
          </w:p>
        </w:tc>
      </w:tr>
      <w:tr w14:paraId="2FAA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vAlign w:val="center"/>
          </w:tcPr>
          <w:p w14:paraId="063E9AF2">
            <w:pPr>
              <w:adjustRightInd w:val="0"/>
              <w:snapToGrid w:val="0"/>
              <w:jc w:val="center"/>
              <w:rPr>
                <w:rFonts w:ascii="宋体" w:hAnsi="宋体"/>
                <w:kern w:val="0"/>
                <w:sz w:val="20"/>
                <w:szCs w:val="21"/>
              </w:rPr>
            </w:pPr>
            <w:r>
              <w:rPr>
                <w:rFonts w:ascii="宋体" w:hAnsi="宋体"/>
                <w:kern w:val="0"/>
                <w:sz w:val="20"/>
                <w:szCs w:val="21"/>
              </w:rPr>
              <w:t>行业会计比较</w:t>
            </w:r>
          </w:p>
        </w:tc>
        <w:tc>
          <w:tcPr>
            <w:tcW w:w="709" w:type="dxa"/>
            <w:vAlign w:val="center"/>
          </w:tcPr>
          <w:p w14:paraId="2ACAE44C">
            <w:pPr>
              <w:adjustRightInd w:val="0"/>
              <w:snapToGrid w:val="0"/>
              <w:jc w:val="center"/>
              <w:rPr>
                <w:rFonts w:ascii="宋体" w:hAnsi="宋体"/>
                <w:kern w:val="0"/>
                <w:sz w:val="20"/>
                <w:szCs w:val="21"/>
              </w:rPr>
            </w:pPr>
            <w:r>
              <w:rPr>
                <w:rFonts w:hint="eastAsia" w:ascii="宋体" w:hAnsi="宋体"/>
                <w:kern w:val="0"/>
                <w:sz w:val="20"/>
                <w:szCs w:val="21"/>
              </w:rPr>
              <w:t>5</w:t>
            </w:r>
            <w:r>
              <w:rPr>
                <w:rFonts w:ascii="宋体" w:hAnsi="宋体"/>
                <w:kern w:val="0"/>
                <w:sz w:val="20"/>
                <w:szCs w:val="21"/>
              </w:rPr>
              <w:t>2</w:t>
            </w:r>
          </w:p>
        </w:tc>
        <w:tc>
          <w:tcPr>
            <w:tcW w:w="2268" w:type="dxa"/>
            <w:vAlign w:val="center"/>
          </w:tcPr>
          <w:p w14:paraId="44A4FBCB">
            <w:pPr>
              <w:adjustRightInd w:val="0"/>
              <w:snapToGrid w:val="0"/>
              <w:rPr>
                <w:kern w:val="0"/>
                <w:sz w:val="20"/>
              </w:rPr>
            </w:pPr>
            <w:r>
              <w:rPr>
                <w:kern w:val="0"/>
                <w:sz w:val="20"/>
              </w:rPr>
              <w:t>使学生了解不同行业会计处理的特殊性，掌握主要行业（如商品流通、建筑施工、房地产、餐饮酒店等）典型业务的会计核算方法，具备适应不同行业会计工作的能力。</w:t>
            </w:r>
          </w:p>
        </w:tc>
        <w:tc>
          <w:tcPr>
            <w:tcW w:w="2268" w:type="dxa"/>
            <w:vAlign w:val="center"/>
          </w:tcPr>
          <w:p w14:paraId="085C7FD4">
            <w:pPr>
              <w:adjustRightInd w:val="0"/>
              <w:snapToGrid w:val="0"/>
              <w:rPr>
                <w:kern w:val="0"/>
                <w:sz w:val="20"/>
              </w:rPr>
            </w:pPr>
            <w:r>
              <w:rPr>
                <w:kern w:val="0"/>
                <w:sz w:val="20"/>
              </w:rPr>
              <w:t>主要讲授各行业特点及其对会计核算的影响，重点比较商品流通业、建筑业、房地产业、运输业、餐饮旅游业等行业在收入确认、成本核算、资产处理等方面的差异。</w:t>
            </w:r>
          </w:p>
        </w:tc>
        <w:tc>
          <w:tcPr>
            <w:tcW w:w="2544" w:type="dxa"/>
            <w:vAlign w:val="center"/>
          </w:tcPr>
          <w:p w14:paraId="2B3BBC2B">
            <w:pPr>
              <w:adjustRightInd w:val="0"/>
              <w:snapToGrid w:val="0"/>
              <w:rPr>
                <w:kern w:val="0"/>
                <w:sz w:val="20"/>
              </w:rPr>
            </w:pPr>
            <w:r>
              <w:rPr>
                <w:b/>
                <w:bCs/>
                <w:kern w:val="0"/>
                <w:sz w:val="20"/>
              </w:rPr>
              <w:t>教师要求:</w:t>
            </w:r>
            <w:r>
              <w:rPr>
                <w:kern w:val="0"/>
                <w:sz w:val="20"/>
              </w:rPr>
              <w:t>具备多行业企业财务工作经验或深入研究。</w:t>
            </w:r>
          </w:p>
          <w:p w14:paraId="5FA09CC3">
            <w:pPr>
              <w:adjustRightInd w:val="0"/>
              <w:snapToGrid w:val="0"/>
              <w:rPr>
                <w:b/>
                <w:bCs/>
                <w:kern w:val="0"/>
                <w:sz w:val="20"/>
              </w:rPr>
            </w:pPr>
            <w:r>
              <w:rPr>
                <w:b/>
                <w:bCs/>
                <w:kern w:val="0"/>
                <w:sz w:val="20"/>
              </w:rPr>
              <w:t>学生要求:</w:t>
            </w:r>
            <w:r>
              <w:rPr>
                <w:kern w:val="0"/>
                <w:sz w:val="20"/>
              </w:rPr>
              <w:t>在掌握通用会计准则的基础上，理解并总结不同行业的核算特点。</w:t>
            </w:r>
          </w:p>
        </w:tc>
      </w:tr>
      <w:tr w14:paraId="3DC0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vAlign w:val="center"/>
          </w:tcPr>
          <w:p w14:paraId="3768DDD4">
            <w:pPr>
              <w:adjustRightInd w:val="0"/>
              <w:snapToGrid w:val="0"/>
              <w:jc w:val="center"/>
              <w:rPr>
                <w:rFonts w:ascii="宋体" w:hAnsi="宋体"/>
                <w:kern w:val="0"/>
                <w:sz w:val="20"/>
                <w:szCs w:val="21"/>
              </w:rPr>
            </w:pPr>
            <w:r>
              <w:rPr>
                <w:rFonts w:hint="eastAsia"/>
                <w:kern w:val="0"/>
                <w:sz w:val="20"/>
              </w:rPr>
              <w:t>会计制度设计</w:t>
            </w:r>
          </w:p>
        </w:tc>
        <w:tc>
          <w:tcPr>
            <w:tcW w:w="709" w:type="dxa"/>
            <w:vAlign w:val="center"/>
          </w:tcPr>
          <w:p w14:paraId="4D12E109">
            <w:pPr>
              <w:adjustRightInd w:val="0"/>
              <w:snapToGrid w:val="0"/>
              <w:jc w:val="center"/>
              <w:rPr>
                <w:rFonts w:ascii="宋体" w:hAnsi="宋体"/>
                <w:kern w:val="0"/>
                <w:sz w:val="20"/>
                <w:szCs w:val="21"/>
              </w:rPr>
            </w:pPr>
            <w:r>
              <w:rPr>
                <w:rFonts w:hint="eastAsia" w:ascii="宋体" w:hAnsi="宋体"/>
                <w:kern w:val="0"/>
                <w:sz w:val="20"/>
                <w:szCs w:val="21"/>
              </w:rPr>
              <w:t>5</w:t>
            </w:r>
            <w:r>
              <w:rPr>
                <w:rFonts w:ascii="宋体" w:hAnsi="宋体"/>
                <w:kern w:val="0"/>
                <w:sz w:val="20"/>
                <w:szCs w:val="21"/>
              </w:rPr>
              <w:t>2</w:t>
            </w:r>
          </w:p>
        </w:tc>
        <w:tc>
          <w:tcPr>
            <w:tcW w:w="2268" w:type="dxa"/>
            <w:vAlign w:val="center"/>
          </w:tcPr>
          <w:p w14:paraId="684FF9FF">
            <w:pPr>
              <w:adjustRightInd w:val="0"/>
              <w:snapToGrid w:val="0"/>
              <w:rPr>
                <w:kern w:val="0"/>
                <w:sz w:val="20"/>
              </w:rPr>
            </w:pPr>
            <w:r>
              <w:rPr>
                <w:rFonts w:hint="eastAsia"/>
                <w:kern w:val="0"/>
                <w:sz w:val="20"/>
              </w:rPr>
              <w:t>使学生了解企业会计制度设计的基本原理、内容和方法，能够根据企业内部管理需要和外部报告要求，初步设计或评价企业会计组织机构、核算流程和内部控制制度。</w:t>
            </w:r>
          </w:p>
        </w:tc>
        <w:tc>
          <w:tcPr>
            <w:tcW w:w="2268" w:type="dxa"/>
            <w:vAlign w:val="center"/>
          </w:tcPr>
          <w:p w14:paraId="5F36A2C5">
            <w:pPr>
              <w:adjustRightInd w:val="0"/>
              <w:snapToGrid w:val="0"/>
              <w:rPr>
                <w:kern w:val="0"/>
                <w:sz w:val="20"/>
              </w:rPr>
            </w:pPr>
            <w:r>
              <w:rPr>
                <w:kern w:val="0"/>
                <w:sz w:val="20"/>
              </w:rPr>
              <w:t>主要讲授会计制度设计概论、会计组织机构设计、会计科目与账簿体系设计、会计核算形式设计、内部控制制度设计（包括货币资金、采购、销售等关键控制）、成本核算制度设计及会计电算化制度设计等内容。</w:t>
            </w:r>
          </w:p>
        </w:tc>
        <w:tc>
          <w:tcPr>
            <w:tcW w:w="2544" w:type="dxa"/>
            <w:vAlign w:val="center"/>
          </w:tcPr>
          <w:p w14:paraId="63A63BDD">
            <w:pPr>
              <w:adjustRightInd w:val="0"/>
              <w:snapToGrid w:val="0"/>
              <w:rPr>
                <w:kern w:val="0"/>
                <w:sz w:val="20"/>
              </w:rPr>
            </w:pPr>
            <w:r>
              <w:rPr>
                <w:rFonts w:hint="eastAsia" w:ascii="宋体" w:hAnsi="宋体"/>
                <w:b/>
                <w:bCs/>
                <w:kern w:val="0"/>
                <w:sz w:val="20"/>
                <w:szCs w:val="21"/>
              </w:rPr>
              <w:t>教师要求：</w:t>
            </w:r>
            <w:r>
              <w:rPr>
                <w:kern w:val="0"/>
                <w:sz w:val="20"/>
              </w:rPr>
              <w:t>具有企业财务体系构建或咨询经验，系统性强。</w:t>
            </w:r>
          </w:p>
          <w:p w14:paraId="4E0F586D">
            <w:pPr>
              <w:adjustRightInd w:val="0"/>
              <w:snapToGrid w:val="0"/>
              <w:rPr>
                <w:b/>
                <w:bCs/>
                <w:kern w:val="0"/>
                <w:sz w:val="20"/>
              </w:rPr>
            </w:pPr>
            <w:r>
              <w:rPr>
                <w:rFonts w:hint="eastAsia"/>
                <w:b/>
                <w:bCs/>
                <w:kern w:val="0"/>
                <w:sz w:val="20"/>
              </w:rPr>
              <w:t>学生要求：</w:t>
            </w:r>
            <w:r>
              <w:rPr>
                <w:kern w:val="0"/>
                <w:sz w:val="20"/>
              </w:rPr>
              <w:t>具备全局观，能够综合运用会计、审计和内控知识进行制度分析与设计。</w:t>
            </w:r>
          </w:p>
        </w:tc>
      </w:tr>
      <w:tr w14:paraId="0881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vAlign w:val="center"/>
          </w:tcPr>
          <w:p w14:paraId="091C1C05">
            <w:pPr>
              <w:adjustRightInd w:val="0"/>
              <w:snapToGrid w:val="0"/>
              <w:jc w:val="center"/>
              <w:rPr>
                <w:rFonts w:ascii="宋体" w:hAnsi="宋体"/>
                <w:kern w:val="0"/>
                <w:sz w:val="20"/>
                <w:szCs w:val="21"/>
              </w:rPr>
            </w:pPr>
            <w:r>
              <w:rPr>
                <w:rFonts w:ascii="宋体" w:hAnsi="宋体"/>
                <w:kern w:val="0"/>
                <w:sz w:val="20"/>
                <w:szCs w:val="21"/>
              </w:rPr>
              <w:t>市场营销</w:t>
            </w:r>
          </w:p>
        </w:tc>
        <w:tc>
          <w:tcPr>
            <w:tcW w:w="709" w:type="dxa"/>
            <w:vAlign w:val="center"/>
          </w:tcPr>
          <w:p w14:paraId="166BACEF">
            <w:pPr>
              <w:adjustRightInd w:val="0"/>
              <w:snapToGrid w:val="0"/>
              <w:jc w:val="center"/>
              <w:rPr>
                <w:rFonts w:ascii="宋体" w:hAnsi="宋体"/>
                <w:kern w:val="0"/>
                <w:sz w:val="20"/>
                <w:szCs w:val="21"/>
              </w:rPr>
            </w:pPr>
            <w:r>
              <w:rPr>
                <w:rFonts w:hint="eastAsia" w:ascii="宋体" w:hAnsi="宋体"/>
                <w:kern w:val="0"/>
                <w:sz w:val="20"/>
                <w:szCs w:val="21"/>
              </w:rPr>
              <w:t>5</w:t>
            </w:r>
            <w:r>
              <w:rPr>
                <w:rFonts w:ascii="宋体" w:hAnsi="宋体"/>
                <w:kern w:val="0"/>
                <w:sz w:val="20"/>
                <w:szCs w:val="21"/>
              </w:rPr>
              <w:t>2</w:t>
            </w:r>
          </w:p>
        </w:tc>
        <w:tc>
          <w:tcPr>
            <w:tcW w:w="2268" w:type="dxa"/>
            <w:vAlign w:val="center"/>
          </w:tcPr>
          <w:p w14:paraId="3BD5FA62">
            <w:pPr>
              <w:adjustRightInd w:val="0"/>
              <w:snapToGrid w:val="0"/>
              <w:rPr>
                <w:kern w:val="0"/>
                <w:sz w:val="20"/>
              </w:rPr>
            </w:pPr>
            <w:r>
              <w:rPr>
                <w:kern w:val="0"/>
                <w:sz w:val="20"/>
              </w:rPr>
              <w:t>使学生掌握市场营销的基本概念、原理和方法，了解市场分析、营销策略制定的过程，培养市场意识，能够从营销视角理解企业价值创造活动，提升业财融合能力。</w:t>
            </w:r>
          </w:p>
        </w:tc>
        <w:tc>
          <w:tcPr>
            <w:tcW w:w="2268" w:type="dxa"/>
            <w:vAlign w:val="center"/>
          </w:tcPr>
          <w:p w14:paraId="1AF345DD">
            <w:pPr>
              <w:adjustRightInd w:val="0"/>
              <w:snapToGrid w:val="0"/>
              <w:rPr>
                <w:kern w:val="0"/>
                <w:sz w:val="20"/>
              </w:rPr>
            </w:pPr>
            <w:r>
              <w:rPr>
                <w:kern w:val="0"/>
                <w:sz w:val="20"/>
              </w:rPr>
              <w:t>主要讲授市场营销环境分析、消费者行为、市场细分与目标市场选择、产品策略、价格策略、渠道策略、促销策略（4P理论）、服务营销、网络营销等基本内容。</w:t>
            </w:r>
          </w:p>
        </w:tc>
        <w:tc>
          <w:tcPr>
            <w:tcW w:w="2544" w:type="dxa"/>
            <w:vAlign w:val="center"/>
          </w:tcPr>
          <w:p w14:paraId="084610BF">
            <w:pPr>
              <w:adjustRightInd w:val="0"/>
              <w:snapToGrid w:val="0"/>
              <w:rPr>
                <w:kern w:val="0"/>
                <w:sz w:val="20"/>
              </w:rPr>
            </w:pPr>
            <w:r>
              <w:rPr>
                <w:rFonts w:hint="eastAsia" w:ascii="宋体" w:hAnsi="宋体"/>
                <w:b/>
                <w:bCs/>
                <w:kern w:val="0"/>
                <w:sz w:val="20"/>
                <w:szCs w:val="21"/>
              </w:rPr>
              <w:t>教师要求：</w:t>
            </w:r>
            <w:r>
              <w:rPr>
                <w:kern w:val="0"/>
                <w:sz w:val="20"/>
              </w:rPr>
              <w:t>具备市场营销理论知识和实践经验。</w:t>
            </w:r>
          </w:p>
          <w:p w14:paraId="01CBF4F9">
            <w:pPr>
              <w:adjustRightInd w:val="0"/>
              <w:snapToGrid w:val="0"/>
              <w:rPr>
                <w:rFonts w:ascii="宋体" w:hAnsi="宋体"/>
                <w:b/>
                <w:bCs/>
                <w:kern w:val="0"/>
                <w:sz w:val="20"/>
                <w:szCs w:val="21"/>
              </w:rPr>
            </w:pPr>
            <w:r>
              <w:rPr>
                <w:rFonts w:hint="eastAsia"/>
                <w:b/>
                <w:bCs/>
                <w:kern w:val="0"/>
                <w:sz w:val="20"/>
              </w:rPr>
              <w:t>学生要求：</w:t>
            </w:r>
            <w:r>
              <w:rPr>
                <w:kern w:val="0"/>
                <w:sz w:val="20"/>
              </w:rPr>
              <w:t>建立客户导向的思维，能够分析企业的营销活动及其财务影响。</w:t>
            </w:r>
          </w:p>
        </w:tc>
      </w:tr>
      <w:tr w14:paraId="6E75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vAlign w:val="center"/>
          </w:tcPr>
          <w:p w14:paraId="70A71269">
            <w:pPr>
              <w:adjustRightInd w:val="0"/>
              <w:snapToGrid w:val="0"/>
              <w:jc w:val="center"/>
              <w:rPr>
                <w:rFonts w:ascii="宋体" w:hAnsi="宋体"/>
                <w:kern w:val="0"/>
                <w:sz w:val="20"/>
                <w:szCs w:val="21"/>
              </w:rPr>
            </w:pPr>
            <w:r>
              <w:rPr>
                <w:rFonts w:ascii="宋体" w:hAnsi="宋体"/>
                <w:kern w:val="0"/>
                <w:sz w:val="20"/>
                <w:szCs w:val="21"/>
              </w:rPr>
              <w:t>企业财务管理</w:t>
            </w:r>
          </w:p>
        </w:tc>
        <w:tc>
          <w:tcPr>
            <w:tcW w:w="709" w:type="dxa"/>
            <w:vAlign w:val="center"/>
          </w:tcPr>
          <w:p w14:paraId="547A39AC">
            <w:pPr>
              <w:adjustRightInd w:val="0"/>
              <w:snapToGrid w:val="0"/>
              <w:jc w:val="center"/>
              <w:rPr>
                <w:rFonts w:ascii="宋体" w:hAnsi="宋体"/>
                <w:kern w:val="0"/>
                <w:sz w:val="20"/>
                <w:szCs w:val="21"/>
              </w:rPr>
            </w:pPr>
            <w:r>
              <w:rPr>
                <w:rFonts w:hint="eastAsia" w:ascii="宋体" w:hAnsi="宋体"/>
                <w:kern w:val="0"/>
                <w:sz w:val="20"/>
                <w:szCs w:val="21"/>
              </w:rPr>
              <w:t>5</w:t>
            </w:r>
            <w:r>
              <w:rPr>
                <w:rFonts w:ascii="宋体" w:hAnsi="宋体"/>
                <w:kern w:val="0"/>
                <w:sz w:val="20"/>
                <w:szCs w:val="21"/>
              </w:rPr>
              <w:t>2</w:t>
            </w:r>
          </w:p>
        </w:tc>
        <w:tc>
          <w:tcPr>
            <w:tcW w:w="2268" w:type="dxa"/>
            <w:vAlign w:val="center"/>
          </w:tcPr>
          <w:p w14:paraId="70036FFF">
            <w:pPr>
              <w:adjustRightInd w:val="0"/>
              <w:snapToGrid w:val="0"/>
              <w:rPr>
                <w:kern w:val="0"/>
                <w:sz w:val="20"/>
              </w:rPr>
            </w:pPr>
            <w:r>
              <w:rPr>
                <w:kern w:val="0"/>
                <w:sz w:val="20"/>
              </w:rPr>
              <w:t>使学生掌握企业财务管理的基本理论和核心方法，具备进行筹资、投资、营运资金和利润分配管理的基本能力，能够分析和解决企业常见的财务问题。</w:t>
            </w:r>
          </w:p>
        </w:tc>
        <w:tc>
          <w:tcPr>
            <w:tcW w:w="2268" w:type="dxa"/>
            <w:vAlign w:val="center"/>
          </w:tcPr>
          <w:p w14:paraId="4EEC74C9">
            <w:pPr>
              <w:adjustRightInd w:val="0"/>
              <w:snapToGrid w:val="0"/>
              <w:rPr>
                <w:kern w:val="0"/>
                <w:sz w:val="20"/>
              </w:rPr>
            </w:pPr>
            <w:r>
              <w:rPr>
                <w:kern w:val="0"/>
                <w:sz w:val="20"/>
              </w:rPr>
              <w:t>主要讲授财务管理价值观念（资金时间价值、风险价值）、筹资方式与资本成本、资本结构、项目投资决策、证券投资、营运资金管理、利润分配政策及财务分析等。</w:t>
            </w:r>
          </w:p>
        </w:tc>
        <w:tc>
          <w:tcPr>
            <w:tcW w:w="2544" w:type="dxa"/>
            <w:vAlign w:val="center"/>
          </w:tcPr>
          <w:p w14:paraId="5266C0BC">
            <w:pPr>
              <w:adjustRightInd w:val="0"/>
              <w:snapToGrid w:val="0"/>
              <w:rPr>
                <w:kern w:val="0"/>
                <w:sz w:val="20"/>
              </w:rPr>
            </w:pPr>
            <w:r>
              <w:rPr>
                <w:rFonts w:hint="eastAsia" w:ascii="宋体" w:hAnsi="宋体"/>
                <w:b/>
                <w:bCs/>
                <w:kern w:val="0"/>
                <w:sz w:val="20"/>
                <w:szCs w:val="21"/>
                <w:lang w:val="en-US" w:eastAsia="zh-CN"/>
              </w:rPr>
              <w:t>教</w:t>
            </w:r>
            <w:r>
              <w:rPr>
                <w:rFonts w:hint="eastAsia" w:ascii="宋体" w:hAnsi="宋体"/>
                <w:b/>
                <w:bCs/>
                <w:kern w:val="0"/>
                <w:sz w:val="20"/>
                <w:szCs w:val="21"/>
              </w:rPr>
              <w:t>师要求：</w:t>
            </w:r>
            <w:r>
              <w:rPr>
                <w:kern w:val="0"/>
                <w:sz w:val="20"/>
              </w:rPr>
              <w:t>具备扎实的财务管理理论和企业理财实践经验。</w:t>
            </w:r>
          </w:p>
          <w:p w14:paraId="60491344">
            <w:pPr>
              <w:adjustRightInd w:val="0"/>
              <w:snapToGrid w:val="0"/>
              <w:rPr>
                <w:rFonts w:ascii="宋体" w:hAnsi="宋体"/>
                <w:b/>
                <w:bCs/>
                <w:kern w:val="0"/>
                <w:sz w:val="20"/>
                <w:szCs w:val="21"/>
              </w:rPr>
            </w:pPr>
            <w:r>
              <w:rPr>
                <w:rFonts w:hint="eastAsia"/>
                <w:b/>
                <w:bCs/>
                <w:kern w:val="0"/>
                <w:sz w:val="20"/>
              </w:rPr>
              <w:t>学生要求：</w:t>
            </w:r>
            <w:r>
              <w:rPr>
                <w:kern w:val="0"/>
                <w:sz w:val="20"/>
              </w:rPr>
              <w:t>掌握财务模型的计算与分析，能运用所学知识进行简单的财务决策。</w:t>
            </w:r>
          </w:p>
        </w:tc>
      </w:tr>
      <w:tr w14:paraId="2A30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vAlign w:val="center"/>
          </w:tcPr>
          <w:p w14:paraId="06F0369D">
            <w:pPr>
              <w:adjustRightInd w:val="0"/>
              <w:snapToGrid w:val="0"/>
              <w:jc w:val="center"/>
              <w:rPr>
                <w:rFonts w:ascii="宋体" w:hAnsi="宋体"/>
                <w:kern w:val="0"/>
                <w:sz w:val="20"/>
                <w:szCs w:val="21"/>
              </w:rPr>
            </w:pPr>
            <w:r>
              <w:rPr>
                <w:rFonts w:hint="eastAsia" w:ascii="宋体" w:hAnsi="宋体"/>
                <w:kern w:val="0"/>
                <w:sz w:val="20"/>
                <w:szCs w:val="21"/>
              </w:rPr>
              <w:t>安全教育</w:t>
            </w:r>
          </w:p>
        </w:tc>
        <w:tc>
          <w:tcPr>
            <w:tcW w:w="709" w:type="dxa"/>
            <w:vAlign w:val="center"/>
          </w:tcPr>
          <w:p w14:paraId="486BEB18">
            <w:pPr>
              <w:adjustRightInd w:val="0"/>
              <w:snapToGrid w:val="0"/>
              <w:jc w:val="center"/>
              <w:rPr>
                <w:rFonts w:ascii="宋体" w:hAnsi="宋体"/>
                <w:kern w:val="0"/>
                <w:sz w:val="20"/>
                <w:szCs w:val="21"/>
              </w:rPr>
            </w:pPr>
            <w:r>
              <w:rPr>
                <w:rFonts w:hint="eastAsia" w:ascii="宋体" w:hAnsi="宋体"/>
                <w:kern w:val="0"/>
                <w:sz w:val="20"/>
                <w:szCs w:val="21"/>
              </w:rPr>
              <w:t>3</w:t>
            </w:r>
            <w:r>
              <w:rPr>
                <w:rFonts w:ascii="宋体" w:hAnsi="宋体"/>
                <w:kern w:val="0"/>
                <w:sz w:val="20"/>
                <w:szCs w:val="21"/>
              </w:rPr>
              <w:t>6</w:t>
            </w:r>
          </w:p>
        </w:tc>
        <w:tc>
          <w:tcPr>
            <w:tcW w:w="2268" w:type="dxa"/>
            <w:vAlign w:val="center"/>
          </w:tcPr>
          <w:p w14:paraId="6F26CB30">
            <w:pPr>
              <w:adjustRightInd w:val="0"/>
              <w:snapToGrid w:val="0"/>
              <w:rPr>
                <w:kern w:val="0"/>
                <w:sz w:val="20"/>
              </w:rPr>
            </w:pPr>
            <w:r>
              <w:rPr>
                <w:rFonts w:hint="eastAsia"/>
                <w:kern w:val="0"/>
                <w:sz w:val="20"/>
              </w:rPr>
              <w:t>使学</w:t>
            </w:r>
            <w:r>
              <w:rPr>
                <w:kern w:val="0"/>
                <w:sz w:val="20"/>
              </w:rPr>
              <w:t>生学习掌握必要安全常识和自救知识。让大学生学会如何趋利避害，健康成人成才，维护国家安全和社会安全。通过学习让学生筑起防范犯罪的壁垒，给同学们营造一个良好的安全学习环境和安全意识</w:t>
            </w:r>
            <w:r>
              <w:rPr>
                <w:rFonts w:hint="eastAsia"/>
                <w:kern w:val="0"/>
                <w:sz w:val="20"/>
              </w:rPr>
              <w:t>。</w:t>
            </w:r>
          </w:p>
        </w:tc>
        <w:tc>
          <w:tcPr>
            <w:tcW w:w="2268" w:type="dxa"/>
            <w:vAlign w:val="center"/>
          </w:tcPr>
          <w:p w14:paraId="3E4DD79D">
            <w:pPr>
              <w:adjustRightInd w:val="0"/>
              <w:snapToGrid w:val="0"/>
              <w:rPr>
                <w:kern w:val="0"/>
                <w:sz w:val="20"/>
              </w:rPr>
            </w:pPr>
            <w:r>
              <w:rPr>
                <w:rFonts w:hint="eastAsia"/>
                <w:kern w:val="0"/>
                <w:sz w:val="20"/>
              </w:rPr>
              <w:t>主要讲授</w:t>
            </w:r>
            <w:r>
              <w:rPr>
                <w:kern w:val="0"/>
                <w:sz w:val="20"/>
              </w:rPr>
              <w:t>财物与人生安全教育</w:t>
            </w:r>
            <w:r>
              <w:rPr>
                <w:rFonts w:hint="eastAsia"/>
                <w:kern w:val="0"/>
                <w:sz w:val="20"/>
              </w:rPr>
              <w:t>；</w:t>
            </w:r>
            <w:r>
              <w:rPr>
                <w:kern w:val="0"/>
                <w:sz w:val="20"/>
              </w:rPr>
              <w:t>交通安全教育</w:t>
            </w:r>
            <w:r>
              <w:rPr>
                <w:rFonts w:hint="eastAsia"/>
                <w:kern w:val="0"/>
                <w:sz w:val="20"/>
              </w:rPr>
              <w:t>实验室安全教育；</w:t>
            </w:r>
            <w:r>
              <w:rPr>
                <w:kern w:val="0"/>
                <w:sz w:val="20"/>
              </w:rPr>
              <w:t>食品安全教育</w:t>
            </w:r>
            <w:r>
              <w:rPr>
                <w:rFonts w:hint="eastAsia"/>
                <w:kern w:val="0"/>
                <w:sz w:val="20"/>
              </w:rPr>
              <w:t>；</w:t>
            </w:r>
            <w:r>
              <w:rPr>
                <w:kern w:val="0"/>
                <w:sz w:val="20"/>
              </w:rPr>
              <w:t>国家安全教育</w:t>
            </w:r>
            <w:r>
              <w:rPr>
                <w:rFonts w:hint="eastAsia"/>
                <w:kern w:val="0"/>
                <w:sz w:val="20"/>
              </w:rPr>
              <w:t>；</w:t>
            </w:r>
            <w:r>
              <w:rPr>
                <w:kern w:val="0"/>
                <w:sz w:val="20"/>
              </w:rPr>
              <w:t>避灾避险教育</w:t>
            </w:r>
            <w:r>
              <w:rPr>
                <w:rFonts w:hint="eastAsia"/>
                <w:kern w:val="0"/>
                <w:sz w:val="20"/>
              </w:rPr>
              <w:t>；</w:t>
            </w:r>
            <w:r>
              <w:rPr>
                <w:kern w:val="0"/>
                <w:sz w:val="20"/>
              </w:rPr>
              <w:t>禁毒与禁赌教育</w:t>
            </w:r>
            <w:r>
              <w:rPr>
                <w:rFonts w:hint="eastAsia"/>
                <w:kern w:val="0"/>
                <w:sz w:val="20"/>
              </w:rPr>
              <w:t>；</w:t>
            </w:r>
            <w:r>
              <w:rPr>
                <w:kern w:val="0"/>
                <w:sz w:val="20"/>
              </w:rPr>
              <w:t>文化安全教</w:t>
            </w:r>
            <w:r>
              <w:rPr>
                <w:rFonts w:hint="eastAsia"/>
                <w:kern w:val="0"/>
                <w:sz w:val="20"/>
              </w:rPr>
              <w:t>等内容。</w:t>
            </w:r>
          </w:p>
        </w:tc>
        <w:tc>
          <w:tcPr>
            <w:tcW w:w="2544" w:type="dxa"/>
            <w:vAlign w:val="center"/>
          </w:tcPr>
          <w:p w14:paraId="6FD44716">
            <w:pPr>
              <w:adjustRightInd w:val="0"/>
              <w:snapToGrid w:val="0"/>
              <w:rPr>
                <w:kern w:val="0"/>
                <w:sz w:val="20"/>
              </w:rPr>
            </w:pPr>
            <w:r>
              <w:rPr>
                <w:rFonts w:hint="eastAsia"/>
                <w:b/>
                <w:bCs/>
                <w:kern w:val="0"/>
                <w:sz w:val="20"/>
              </w:rPr>
              <w:t>教师要求：</w:t>
            </w:r>
            <w:r>
              <w:rPr>
                <w:kern w:val="0"/>
                <w:sz w:val="20"/>
              </w:rPr>
              <w:t>有理论教学实践经验</w:t>
            </w:r>
            <w:r>
              <w:rPr>
                <w:rFonts w:hint="eastAsia"/>
                <w:kern w:val="0"/>
                <w:sz w:val="20"/>
              </w:rPr>
              <w:t>；</w:t>
            </w:r>
            <w:r>
              <w:rPr>
                <w:kern w:val="0"/>
                <w:sz w:val="20"/>
              </w:rPr>
              <w:t>熟练操作多媒体教学课</w:t>
            </w:r>
            <w:r>
              <w:rPr>
                <w:rFonts w:hint="eastAsia"/>
                <w:kern w:val="0"/>
                <w:sz w:val="20"/>
              </w:rPr>
              <w:t>件。</w:t>
            </w:r>
          </w:p>
          <w:p w14:paraId="4B558085">
            <w:pPr>
              <w:adjustRightInd w:val="0"/>
              <w:snapToGrid w:val="0"/>
              <w:rPr>
                <w:b/>
                <w:bCs/>
                <w:kern w:val="0"/>
                <w:sz w:val="20"/>
              </w:rPr>
            </w:pPr>
            <w:r>
              <w:rPr>
                <w:rFonts w:hint="eastAsia"/>
                <w:b/>
                <w:bCs/>
                <w:kern w:val="0"/>
                <w:sz w:val="20"/>
              </w:rPr>
              <w:t>学生要求：</w:t>
            </w:r>
            <w:r>
              <w:rPr>
                <w:kern w:val="0"/>
                <w:sz w:val="20"/>
              </w:rPr>
              <w:t>坚持理论联系实际。树立历史观点、世界视野、国情意识和问题意识，增强分析问题、解决问题的能力。</w:t>
            </w:r>
          </w:p>
        </w:tc>
      </w:tr>
      <w:tr w14:paraId="0A06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vAlign w:val="center"/>
          </w:tcPr>
          <w:p w14:paraId="7ED8C63D">
            <w:pPr>
              <w:adjustRightInd w:val="0"/>
              <w:snapToGrid w:val="0"/>
              <w:jc w:val="center"/>
              <w:rPr>
                <w:rFonts w:hint="eastAsia" w:ascii="宋体" w:hAnsi="宋体" w:eastAsia="宋体"/>
                <w:kern w:val="0"/>
                <w:sz w:val="20"/>
                <w:szCs w:val="21"/>
                <w:lang w:eastAsia="zh-CN"/>
              </w:rPr>
            </w:pPr>
            <w:r>
              <w:rPr>
                <w:rFonts w:hint="eastAsia" w:ascii="宋体" w:hAnsi="宋体"/>
                <w:kern w:val="0"/>
                <w:sz w:val="20"/>
                <w:szCs w:val="21"/>
                <w:lang w:val="en-US" w:eastAsia="zh-CN"/>
              </w:rPr>
              <w:t>新媒体营销</w:t>
            </w:r>
          </w:p>
        </w:tc>
        <w:tc>
          <w:tcPr>
            <w:tcW w:w="709" w:type="dxa"/>
            <w:vAlign w:val="center"/>
          </w:tcPr>
          <w:p w14:paraId="5D3A1D27">
            <w:pPr>
              <w:adjustRightInd w:val="0"/>
              <w:snapToGrid w:val="0"/>
              <w:jc w:val="center"/>
              <w:rPr>
                <w:rFonts w:ascii="宋体" w:hAnsi="宋体"/>
                <w:kern w:val="0"/>
                <w:sz w:val="20"/>
                <w:szCs w:val="21"/>
              </w:rPr>
            </w:pPr>
            <w:r>
              <w:rPr>
                <w:rFonts w:hint="eastAsia" w:ascii="宋体" w:hAnsi="宋体"/>
                <w:kern w:val="0"/>
                <w:sz w:val="20"/>
                <w:szCs w:val="21"/>
              </w:rPr>
              <w:t>3</w:t>
            </w:r>
            <w:r>
              <w:rPr>
                <w:rFonts w:ascii="宋体" w:hAnsi="宋体"/>
                <w:kern w:val="0"/>
                <w:sz w:val="20"/>
                <w:szCs w:val="21"/>
              </w:rPr>
              <w:t>6</w:t>
            </w:r>
          </w:p>
        </w:tc>
        <w:tc>
          <w:tcPr>
            <w:tcW w:w="2268" w:type="dxa"/>
            <w:vAlign w:val="center"/>
          </w:tcPr>
          <w:p w14:paraId="197D38E9">
            <w:pPr>
              <w:adjustRightInd w:val="0"/>
              <w:snapToGrid w:val="0"/>
              <w:rPr>
                <w:kern w:val="0"/>
                <w:sz w:val="20"/>
              </w:rPr>
            </w:pPr>
            <w:r>
              <w:rPr>
                <w:kern w:val="0"/>
                <w:sz w:val="20"/>
              </w:rPr>
              <w:t>使学生掌握新媒体营销的核心概念、主流平台运营规则与实操技能，能够策划并执行新媒体营销方案，为企业品牌推广和产品营销提供新思路与新方法。</w:t>
            </w:r>
          </w:p>
        </w:tc>
        <w:tc>
          <w:tcPr>
            <w:tcW w:w="2268" w:type="dxa"/>
            <w:vAlign w:val="center"/>
          </w:tcPr>
          <w:p w14:paraId="73FD1104">
            <w:pPr>
              <w:adjustRightInd w:val="0"/>
              <w:snapToGrid w:val="0"/>
              <w:rPr>
                <w:kern w:val="0"/>
                <w:sz w:val="20"/>
              </w:rPr>
            </w:pPr>
            <w:r>
              <w:rPr>
                <w:kern w:val="0"/>
                <w:sz w:val="20"/>
              </w:rPr>
              <w:t>主要讲授新媒体营销概论、内容营销（图文、短视频、直播等）、微信与微博运营、抖音/快手等短视频平台运营、社群营销、数据分析与效果优化、营销活动策划等。</w:t>
            </w:r>
          </w:p>
        </w:tc>
        <w:tc>
          <w:tcPr>
            <w:tcW w:w="2544" w:type="dxa"/>
            <w:vAlign w:val="center"/>
          </w:tcPr>
          <w:p w14:paraId="5886CC47">
            <w:pPr>
              <w:adjustRightInd w:val="0"/>
              <w:snapToGrid w:val="0"/>
              <w:rPr>
                <w:kern w:val="0"/>
                <w:sz w:val="20"/>
              </w:rPr>
            </w:pPr>
            <w:r>
              <w:rPr>
                <w:rFonts w:hint="eastAsia"/>
                <w:b/>
                <w:bCs/>
                <w:kern w:val="0"/>
                <w:sz w:val="20"/>
              </w:rPr>
              <w:t>教师要求：</w:t>
            </w:r>
            <w:r>
              <w:rPr>
                <w:kern w:val="0"/>
                <w:sz w:val="20"/>
              </w:rPr>
              <w:t>有理论教学实践经验</w:t>
            </w:r>
            <w:r>
              <w:rPr>
                <w:rFonts w:hint="eastAsia"/>
                <w:kern w:val="0"/>
                <w:sz w:val="20"/>
              </w:rPr>
              <w:t>；</w:t>
            </w:r>
            <w:r>
              <w:rPr>
                <w:kern w:val="0"/>
                <w:sz w:val="20"/>
              </w:rPr>
              <w:t>熟练操作多媒体教学课</w:t>
            </w:r>
            <w:r>
              <w:rPr>
                <w:rFonts w:hint="eastAsia"/>
                <w:kern w:val="0"/>
                <w:sz w:val="20"/>
              </w:rPr>
              <w:t>件。</w:t>
            </w:r>
          </w:p>
          <w:p w14:paraId="4E82C681">
            <w:pPr>
              <w:adjustRightInd w:val="0"/>
              <w:snapToGrid w:val="0"/>
              <w:rPr>
                <w:b/>
                <w:bCs/>
                <w:kern w:val="0"/>
                <w:sz w:val="20"/>
              </w:rPr>
            </w:pPr>
            <w:r>
              <w:rPr>
                <w:rFonts w:hint="eastAsia"/>
                <w:b/>
                <w:bCs/>
                <w:kern w:val="0"/>
                <w:sz w:val="20"/>
              </w:rPr>
              <w:t>学生要求：</w:t>
            </w:r>
            <w:r>
              <w:rPr>
                <w:kern w:val="0"/>
                <w:sz w:val="20"/>
              </w:rPr>
              <w:t>积极配合教师教学工作、主动参与教学环节，能够与老师形成互动，营造良好的教学氛围</w:t>
            </w:r>
            <w:r>
              <w:rPr>
                <w:rFonts w:hint="eastAsia"/>
                <w:kern w:val="0"/>
                <w:sz w:val="20"/>
              </w:rPr>
              <w:t>。</w:t>
            </w:r>
          </w:p>
        </w:tc>
      </w:tr>
      <w:tr w14:paraId="68EF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vAlign w:val="center"/>
          </w:tcPr>
          <w:p w14:paraId="546D15EF">
            <w:pPr>
              <w:adjustRightInd w:val="0"/>
              <w:snapToGrid w:val="0"/>
              <w:jc w:val="center"/>
              <w:rPr>
                <w:rFonts w:ascii="宋体" w:hAnsi="宋体"/>
                <w:kern w:val="0"/>
                <w:sz w:val="20"/>
                <w:szCs w:val="21"/>
              </w:rPr>
            </w:pPr>
            <w:r>
              <w:rPr>
                <w:rFonts w:hint="eastAsia" w:ascii="宋体" w:hAnsi="宋体"/>
                <w:kern w:val="0"/>
                <w:sz w:val="20"/>
                <w:szCs w:val="21"/>
              </w:rPr>
              <w:t>美术鉴赏</w:t>
            </w:r>
          </w:p>
        </w:tc>
        <w:tc>
          <w:tcPr>
            <w:tcW w:w="709" w:type="dxa"/>
            <w:vAlign w:val="center"/>
          </w:tcPr>
          <w:p w14:paraId="77EF4BA9">
            <w:pPr>
              <w:adjustRightInd w:val="0"/>
              <w:snapToGrid w:val="0"/>
              <w:jc w:val="center"/>
              <w:rPr>
                <w:rFonts w:ascii="宋体" w:hAnsi="宋体"/>
                <w:kern w:val="0"/>
                <w:sz w:val="20"/>
                <w:szCs w:val="21"/>
              </w:rPr>
            </w:pPr>
            <w:r>
              <w:rPr>
                <w:rFonts w:ascii="宋体" w:hAnsi="宋体"/>
                <w:kern w:val="0"/>
                <w:sz w:val="20"/>
                <w:szCs w:val="21"/>
              </w:rPr>
              <w:t>36</w:t>
            </w:r>
          </w:p>
        </w:tc>
        <w:tc>
          <w:tcPr>
            <w:tcW w:w="2268" w:type="dxa"/>
            <w:vAlign w:val="center"/>
          </w:tcPr>
          <w:p w14:paraId="32368A6E">
            <w:pPr>
              <w:adjustRightInd w:val="0"/>
              <w:snapToGrid w:val="0"/>
              <w:rPr>
                <w:kern w:val="0"/>
                <w:sz w:val="20"/>
              </w:rPr>
            </w:pPr>
            <w:r>
              <w:rPr>
                <w:rFonts w:hint="eastAsia"/>
                <w:kern w:val="0"/>
                <w:sz w:val="20"/>
              </w:rPr>
              <w:t>培养学生的美术鉴赏能力，让学生掌握美术鉴赏的方法，能够从文化研究、技术特点等多角度欣赏美术作品，增强他们的审美判断力与鉴赏力，为提高其思想道德素质和文化素质奠定基础。</w:t>
            </w:r>
          </w:p>
        </w:tc>
        <w:tc>
          <w:tcPr>
            <w:tcW w:w="2268" w:type="dxa"/>
            <w:vAlign w:val="center"/>
          </w:tcPr>
          <w:p w14:paraId="7169777F">
            <w:pPr>
              <w:adjustRightInd w:val="0"/>
              <w:snapToGrid w:val="0"/>
              <w:rPr>
                <w:kern w:val="0"/>
                <w:sz w:val="20"/>
              </w:rPr>
            </w:pPr>
            <w:r>
              <w:rPr>
                <w:rFonts w:hint="eastAsia"/>
                <w:kern w:val="0"/>
                <w:sz w:val="20"/>
              </w:rPr>
              <w:t>主要讲授绘画艺术鉴赏、</w:t>
            </w:r>
            <w:r>
              <w:rPr>
                <w:rFonts w:hint="eastAsia" w:ascii="宋体" w:hAnsi="宋体" w:cs="宋体"/>
                <w:kern w:val="0"/>
                <w:sz w:val="20"/>
              </w:rPr>
              <w:t>书法艺术鉴赏、雕塑艺术鉴赏、建筑艺术鉴赏、工艺美术鉴赏等内容。</w:t>
            </w:r>
          </w:p>
        </w:tc>
        <w:tc>
          <w:tcPr>
            <w:tcW w:w="2544" w:type="dxa"/>
            <w:vAlign w:val="center"/>
          </w:tcPr>
          <w:p w14:paraId="632C489B">
            <w:pPr>
              <w:adjustRightInd w:val="0"/>
              <w:snapToGrid w:val="0"/>
              <w:rPr>
                <w:kern w:val="0"/>
                <w:sz w:val="20"/>
              </w:rPr>
            </w:pPr>
            <w:r>
              <w:rPr>
                <w:rFonts w:hint="eastAsia"/>
                <w:b/>
                <w:bCs/>
                <w:kern w:val="0"/>
                <w:sz w:val="20"/>
              </w:rPr>
              <w:t>教师要求：</w:t>
            </w:r>
            <w:r>
              <w:rPr>
                <w:rFonts w:hint="eastAsia"/>
                <w:kern w:val="0"/>
                <w:sz w:val="20"/>
              </w:rPr>
              <w:t>具备新媒体平台实战运营经验，熟悉最新行业动态和案例</w:t>
            </w:r>
            <w:r>
              <w:rPr>
                <w:rFonts w:ascii="Segoe UI" w:hAnsi="Segoe UI" w:eastAsia="Segoe UI" w:cs="Segoe UI"/>
                <w:i w:val="0"/>
                <w:iCs w:val="0"/>
                <w:caps w:val="0"/>
                <w:color w:val="000000"/>
                <w:spacing w:val="-2"/>
                <w:sz w:val="24"/>
                <w:szCs w:val="24"/>
                <w:shd w:val="clear" w:fill="FFFFFF"/>
              </w:rPr>
              <w:t>。</w:t>
            </w:r>
          </w:p>
          <w:p w14:paraId="761A45A9">
            <w:pPr>
              <w:adjustRightInd w:val="0"/>
              <w:snapToGrid w:val="0"/>
              <w:rPr>
                <w:b/>
                <w:bCs/>
                <w:kern w:val="0"/>
                <w:sz w:val="20"/>
              </w:rPr>
            </w:pPr>
            <w:r>
              <w:rPr>
                <w:rFonts w:hint="eastAsia"/>
                <w:b/>
                <w:bCs/>
                <w:kern w:val="0"/>
                <w:sz w:val="20"/>
              </w:rPr>
              <w:t>学生要求：</w:t>
            </w:r>
            <w:r>
              <w:rPr>
                <w:rFonts w:hint="eastAsia"/>
                <w:kern w:val="0"/>
                <w:sz w:val="20"/>
              </w:rPr>
              <w:t>组建模拟团队，独立运营一个新媒体账号并完成一次完整的营销策划案。</w:t>
            </w:r>
          </w:p>
        </w:tc>
      </w:tr>
      <w:tr w14:paraId="168E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vAlign w:val="center"/>
          </w:tcPr>
          <w:p w14:paraId="3FA0399C">
            <w:pPr>
              <w:adjustRightInd w:val="0"/>
              <w:snapToGrid w:val="0"/>
              <w:jc w:val="center"/>
              <w:rPr>
                <w:rFonts w:ascii="宋体" w:hAnsi="宋体"/>
                <w:kern w:val="0"/>
                <w:sz w:val="20"/>
                <w:szCs w:val="21"/>
              </w:rPr>
            </w:pPr>
            <w:r>
              <w:rPr>
                <w:rFonts w:hint="eastAsia" w:ascii="宋体" w:hAnsi="宋体"/>
                <w:kern w:val="0"/>
                <w:sz w:val="20"/>
                <w:szCs w:val="21"/>
              </w:rPr>
              <w:t>音乐鉴赏</w:t>
            </w:r>
          </w:p>
        </w:tc>
        <w:tc>
          <w:tcPr>
            <w:tcW w:w="709" w:type="dxa"/>
            <w:vAlign w:val="center"/>
          </w:tcPr>
          <w:p w14:paraId="00CEEE3E">
            <w:pPr>
              <w:adjustRightInd w:val="0"/>
              <w:snapToGrid w:val="0"/>
              <w:jc w:val="center"/>
              <w:rPr>
                <w:rFonts w:ascii="宋体" w:hAnsi="宋体"/>
                <w:kern w:val="0"/>
                <w:sz w:val="20"/>
                <w:szCs w:val="21"/>
              </w:rPr>
            </w:pPr>
            <w:r>
              <w:rPr>
                <w:rFonts w:hint="eastAsia" w:ascii="宋体" w:hAnsi="宋体"/>
                <w:kern w:val="0"/>
                <w:sz w:val="20"/>
                <w:szCs w:val="21"/>
              </w:rPr>
              <w:t>3</w:t>
            </w:r>
            <w:r>
              <w:rPr>
                <w:rFonts w:ascii="宋体" w:hAnsi="宋体"/>
                <w:kern w:val="0"/>
                <w:sz w:val="20"/>
                <w:szCs w:val="21"/>
              </w:rPr>
              <w:t>6</w:t>
            </w:r>
          </w:p>
        </w:tc>
        <w:tc>
          <w:tcPr>
            <w:tcW w:w="2268" w:type="dxa"/>
            <w:vAlign w:val="center"/>
          </w:tcPr>
          <w:p w14:paraId="1D966876">
            <w:pPr>
              <w:adjustRightInd w:val="0"/>
              <w:snapToGrid w:val="0"/>
              <w:rPr>
                <w:kern w:val="0"/>
                <w:sz w:val="20"/>
              </w:rPr>
            </w:pPr>
            <w:r>
              <w:rPr>
                <w:kern w:val="0"/>
                <w:sz w:val="20"/>
              </w:rPr>
              <w:t>使学生了解中外音乐发展概况，掌握音乐鉴赏的基本理论与方法，提升审美情趣与艺术素养，培养高尚的思想情操和健全的人格。</w:t>
            </w:r>
          </w:p>
        </w:tc>
        <w:tc>
          <w:tcPr>
            <w:tcW w:w="2268" w:type="dxa"/>
            <w:vAlign w:val="center"/>
          </w:tcPr>
          <w:p w14:paraId="2E324997">
            <w:pPr>
              <w:adjustRightInd w:val="0"/>
              <w:snapToGrid w:val="0"/>
              <w:rPr>
                <w:kern w:val="0"/>
                <w:sz w:val="20"/>
              </w:rPr>
            </w:pPr>
            <w:r>
              <w:rPr>
                <w:kern w:val="0"/>
                <w:sz w:val="20"/>
              </w:rPr>
              <w:t>主要讲授音乐表现要素、音乐体裁、中外不同时期（如巴洛克、古典、浪漫、近现代）的代表性作曲家及作品、中国民族民间音乐、流行音乐发展等。</w:t>
            </w:r>
          </w:p>
        </w:tc>
        <w:tc>
          <w:tcPr>
            <w:tcW w:w="2544" w:type="dxa"/>
            <w:vAlign w:val="center"/>
          </w:tcPr>
          <w:p w14:paraId="62316360">
            <w:pPr>
              <w:adjustRightInd w:val="0"/>
              <w:snapToGrid w:val="0"/>
              <w:rPr>
                <w:kern w:val="0"/>
                <w:sz w:val="20"/>
              </w:rPr>
            </w:pPr>
            <w:r>
              <w:rPr>
                <w:rFonts w:hint="eastAsia"/>
                <w:b/>
                <w:bCs/>
                <w:kern w:val="0"/>
                <w:sz w:val="20"/>
              </w:rPr>
              <w:t>教师要求：</w:t>
            </w:r>
            <w:r>
              <w:rPr>
                <w:kern w:val="0"/>
                <w:sz w:val="20"/>
              </w:rPr>
              <w:t>具备扎实的音乐理论基础和丰富的艺术鉴赏经验，能引导学生感受音乐之美。</w:t>
            </w:r>
          </w:p>
          <w:p w14:paraId="5A3DF936">
            <w:pPr>
              <w:adjustRightInd w:val="0"/>
              <w:snapToGrid w:val="0"/>
              <w:rPr>
                <w:b/>
                <w:bCs/>
                <w:kern w:val="0"/>
                <w:sz w:val="20"/>
              </w:rPr>
            </w:pPr>
            <w:r>
              <w:rPr>
                <w:rFonts w:hint="eastAsia"/>
                <w:b/>
                <w:bCs/>
                <w:kern w:val="0"/>
                <w:sz w:val="20"/>
              </w:rPr>
              <w:t>学生要求：</w:t>
            </w:r>
            <w:r>
              <w:rPr>
                <w:kern w:val="0"/>
                <w:sz w:val="20"/>
              </w:rPr>
              <w:t>积极参与课堂聆听与讨论，完成听辨和赏析作业。</w:t>
            </w:r>
          </w:p>
        </w:tc>
      </w:tr>
      <w:tr w14:paraId="3BF0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1" w:type="dxa"/>
            <w:vAlign w:val="center"/>
          </w:tcPr>
          <w:p w14:paraId="38CCA0CB">
            <w:pPr>
              <w:adjustRightInd w:val="0"/>
              <w:snapToGrid w:val="0"/>
              <w:jc w:val="center"/>
              <w:rPr>
                <w:rFonts w:hint="eastAsia" w:ascii="宋体" w:hAnsi="宋体"/>
                <w:kern w:val="0"/>
                <w:sz w:val="20"/>
                <w:szCs w:val="21"/>
              </w:rPr>
            </w:pPr>
            <w:r>
              <w:rPr>
                <w:rFonts w:hint="eastAsia" w:ascii="宋体" w:hAnsi="宋体"/>
                <w:kern w:val="0"/>
                <w:sz w:val="20"/>
                <w:szCs w:val="21"/>
              </w:rPr>
              <w:t>企业内部控制</w:t>
            </w:r>
          </w:p>
        </w:tc>
        <w:tc>
          <w:tcPr>
            <w:tcW w:w="709" w:type="dxa"/>
            <w:vAlign w:val="center"/>
          </w:tcPr>
          <w:p w14:paraId="4A73052F">
            <w:pPr>
              <w:adjustRightInd w:val="0"/>
              <w:snapToGrid w:val="0"/>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52</w:t>
            </w:r>
          </w:p>
        </w:tc>
        <w:tc>
          <w:tcPr>
            <w:tcW w:w="2268" w:type="dxa"/>
            <w:vAlign w:val="center"/>
          </w:tcPr>
          <w:p w14:paraId="1BFE7AFA">
            <w:pPr>
              <w:adjustRightInd w:val="0"/>
              <w:snapToGrid w:val="0"/>
              <w:rPr>
                <w:kern w:val="0"/>
                <w:sz w:val="20"/>
              </w:rPr>
            </w:pPr>
            <w:r>
              <w:rPr>
                <w:kern w:val="0"/>
                <w:sz w:val="20"/>
              </w:rPr>
              <w:t>使学生掌握企业内部控制的基本框架、原理与方法，能够识别企业主要业务循环的风险点，具备评价和设计简单内部控制制度的能力，增强风险防范意识。</w:t>
            </w:r>
          </w:p>
        </w:tc>
        <w:tc>
          <w:tcPr>
            <w:tcW w:w="2268" w:type="dxa"/>
            <w:vAlign w:val="center"/>
          </w:tcPr>
          <w:p w14:paraId="51805BFD">
            <w:pPr>
              <w:adjustRightInd w:val="0"/>
              <w:snapToGrid w:val="0"/>
              <w:rPr>
                <w:kern w:val="0"/>
                <w:sz w:val="20"/>
              </w:rPr>
            </w:pPr>
            <w:r>
              <w:rPr>
                <w:kern w:val="0"/>
                <w:sz w:val="20"/>
              </w:rPr>
              <w:t>主要讲授内部控制基本规范及配套指引、内部控制环境、风险评估、控制活动、信息与沟通、内部监督等要素，并深入讲解采购、销售、存货、资金等关键业务循环的控制流程与设计。</w:t>
            </w:r>
          </w:p>
        </w:tc>
        <w:tc>
          <w:tcPr>
            <w:tcW w:w="2544" w:type="dxa"/>
            <w:vAlign w:val="center"/>
          </w:tcPr>
          <w:p w14:paraId="6088D24F">
            <w:pPr>
              <w:adjustRightInd w:val="0"/>
              <w:snapToGrid w:val="0"/>
              <w:rPr>
                <w:rFonts w:hint="eastAsia"/>
                <w:b/>
                <w:bCs/>
                <w:kern w:val="0"/>
                <w:sz w:val="20"/>
              </w:rPr>
            </w:pPr>
            <w:r>
              <w:rPr>
                <w:rFonts w:hint="eastAsia"/>
                <w:b/>
                <w:bCs/>
                <w:kern w:val="0"/>
                <w:sz w:val="20"/>
              </w:rPr>
              <w:t>教师要求：</w:t>
            </w:r>
            <w:r>
              <w:rPr>
                <w:rFonts w:hint="eastAsia"/>
                <w:kern w:val="0"/>
                <w:sz w:val="20"/>
              </w:rPr>
              <w:t>具备注册会计师或审计师资格，有企业内控建设或审计实务经验。</w:t>
            </w:r>
          </w:p>
          <w:p w14:paraId="68234D12">
            <w:pPr>
              <w:adjustRightInd w:val="0"/>
              <w:snapToGrid w:val="0"/>
              <w:rPr>
                <w:rFonts w:hint="eastAsia"/>
                <w:b/>
                <w:bCs/>
                <w:kern w:val="0"/>
                <w:sz w:val="20"/>
              </w:rPr>
            </w:pPr>
            <w:r>
              <w:rPr>
                <w:rFonts w:hint="eastAsia"/>
                <w:b/>
                <w:bCs/>
                <w:kern w:val="0"/>
                <w:sz w:val="20"/>
              </w:rPr>
              <w:t>学生要求：</w:t>
            </w:r>
            <w:r>
              <w:rPr>
                <w:rFonts w:hint="eastAsia"/>
                <w:kern w:val="0"/>
                <w:sz w:val="20"/>
              </w:rPr>
              <w:t>掌握内部控制的核心概念，能通过案例分析识别控制缺陷并提出改进建议。</w:t>
            </w:r>
          </w:p>
        </w:tc>
      </w:tr>
      <w:bookmarkEnd w:id="5"/>
    </w:tbl>
    <w:p w14:paraId="4E484CB5">
      <w:pPr>
        <w:spacing w:line="480" w:lineRule="exact"/>
        <w:ind w:firstLine="480" w:firstLineChars="200"/>
        <w:rPr>
          <w:rFonts w:ascii="黑体" w:hAnsi="黑体" w:eastAsia="黑体"/>
          <w:kern w:val="0"/>
          <w:sz w:val="24"/>
          <w:szCs w:val="20"/>
        </w:rPr>
      </w:pPr>
      <w:r>
        <w:rPr>
          <w:rFonts w:hint="eastAsia" w:ascii="黑体" w:hAnsi="黑体" w:eastAsia="黑体"/>
          <w:kern w:val="0"/>
          <w:sz w:val="24"/>
          <w:szCs w:val="20"/>
        </w:rPr>
        <w:t>七、教学进程总体安排</w:t>
      </w:r>
    </w:p>
    <w:p w14:paraId="46B38CAD">
      <w:pPr>
        <w:adjustRightInd w:val="0"/>
        <w:snapToGrid w:val="0"/>
        <w:spacing w:line="480" w:lineRule="exact"/>
        <w:ind w:firstLine="480" w:firstLineChars="200"/>
        <w:rPr>
          <w:rFonts w:hint="eastAsia" w:ascii="楷体" w:hAnsi="楷体" w:eastAsia="楷体"/>
          <w:sz w:val="24"/>
        </w:rPr>
      </w:pPr>
      <w:r>
        <w:rPr>
          <w:rFonts w:hint="eastAsia" w:ascii="楷体" w:hAnsi="楷体" w:eastAsia="楷体"/>
          <w:sz w:val="24"/>
        </w:rPr>
        <w:t>（一）教学计划进程表（附表</w:t>
      </w:r>
      <w:r>
        <w:rPr>
          <w:rFonts w:hint="eastAsia" w:ascii="楷体" w:hAnsi="楷体" w:eastAsia="楷体"/>
          <w:sz w:val="24"/>
          <w:lang w:eastAsia="zh-CN"/>
        </w:rPr>
        <w:t>）</w:t>
      </w:r>
    </w:p>
    <w:p w14:paraId="025642B8">
      <w:pPr>
        <w:spacing w:line="480" w:lineRule="exact"/>
        <w:ind w:firstLine="480" w:firstLineChars="200"/>
        <w:rPr>
          <w:rFonts w:hint="eastAsia" w:ascii="宋体" w:hAnsi="宋体"/>
          <w:sz w:val="24"/>
          <w:lang w:eastAsia="zh-CN"/>
        </w:rPr>
      </w:pPr>
      <w:r>
        <w:rPr>
          <w:rFonts w:hint="eastAsia" w:ascii="宋体" w:hAnsi="宋体"/>
          <w:sz w:val="24"/>
          <w:lang w:eastAsia="zh-CN"/>
        </w:rPr>
        <w:t>教学进程总体安排是对本专业技术技能人才培养、教育教学实施进程的总体安排，是专业人才培养模式的具体体现，学校应尊重学生的学习规律，科学构建课程体系，注</w:t>
      </w:r>
    </w:p>
    <w:p w14:paraId="685C9F96">
      <w:pPr>
        <w:spacing w:line="480" w:lineRule="exact"/>
        <w:rPr>
          <w:rFonts w:hint="eastAsia" w:ascii="宋体" w:hAnsi="宋体"/>
          <w:sz w:val="24"/>
          <w:lang w:eastAsia="zh-CN"/>
        </w:rPr>
      </w:pPr>
      <w:r>
        <w:rPr>
          <w:rFonts w:hint="eastAsia" w:ascii="宋体" w:hAnsi="宋体"/>
          <w:sz w:val="24"/>
          <w:lang w:eastAsia="zh-CN"/>
        </w:rPr>
        <w:t>重公共基础课程与专业课程的衔接，优化课程安排次序，明确学期周数分配，科学编制教学进程安排表。（见附录）</w:t>
      </w:r>
    </w:p>
    <w:p w14:paraId="57223CFE">
      <w:pPr>
        <w:numPr>
          <w:ilvl w:val="0"/>
          <w:numId w:val="1"/>
        </w:numPr>
        <w:spacing w:line="480" w:lineRule="exact"/>
        <w:ind w:firstLine="480" w:firstLineChars="200"/>
        <w:rPr>
          <w:rFonts w:hint="eastAsia" w:ascii="楷体" w:hAnsi="楷体" w:eastAsia="楷体"/>
          <w:sz w:val="24"/>
        </w:rPr>
      </w:pPr>
      <w:r>
        <w:rPr>
          <w:rFonts w:hint="eastAsia" w:ascii="楷体" w:hAnsi="楷体" w:eastAsia="楷体"/>
          <w:sz w:val="24"/>
        </w:rPr>
        <w:t>学时比例分配表</w:t>
      </w:r>
    </w:p>
    <w:tbl>
      <w:tblPr>
        <w:tblStyle w:val="7"/>
        <w:tblpPr w:leftFromText="180" w:rightFromText="180" w:vertAnchor="page" w:horzAnchor="page" w:tblpX="1543" w:tblpY="6897"/>
        <w:tblW w:w="8817" w:type="dxa"/>
        <w:tblInd w:w="0" w:type="dxa"/>
        <w:tblLayout w:type="fixed"/>
        <w:tblCellMar>
          <w:top w:w="0" w:type="dxa"/>
          <w:left w:w="108" w:type="dxa"/>
          <w:bottom w:w="0" w:type="dxa"/>
          <w:right w:w="108" w:type="dxa"/>
        </w:tblCellMar>
      </w:tblPr>
      <w:tblGrid>
        <w:gridCol w:w="1541"/>
        <w:gridCol w:w="1465"/>
        <w:gridCol w:w="1559"/>
        <w:gridCol w:w="1701"/>
        <w:gridCol w:w="1276"/>
        <w:gridCol w:w="1275"/>
      </w:tblGrid>
      <w:tr w14:paraId="308CFE6A">
        <w:tblPrEx>
          <w:tblCellMar>
            <w:top w:w="0" w:type="dxa"/>
            <w:left w:w="108" w:type="dxa"/>
            <w:bottom w:w="0" w:type="dxa"/>
            <w:right w:w="108" w:type="dxa"/>
          </w:tblCellMar>
        </w:tblPrEx>
        <w:trPr>
          <w:trHeight w:val="1032" w:hRule="atLeast"/>
        </w:trPr>
        <w:tc>
          <w:tcPr>
            <w:tcW w:w="1541" w:type="dxa"/>
            <w:vMerge w:val="restart"/>
            <w:tcBorders>
              <w:top w:val="single" w:color="auto" w:sz="4" w:space="0"/>
              <w:left w:val="single" w:color="auto" w:sz="4" w:space="0"/>
              <w:bottom w:val="single" w:color="000000" w:sz="4" w:space="0"/>
              <w:right w:val="single" w:color="000000" w:sz="4" w:space="0"/>
            </w:tcBorders>
            <w:vAlign w:val="center"/>
          </w:tcPr>
          <w:p w14:paraId="006FE0E8">
            <w:pPr>
              <w:widowControl/>
              <w:spacing w:before="163" w:beforeLines="50" w:after="163" w:afterLines="50"/>
              <w:jc w:val="center"/>
              <w:rPr>
                <w:rFonts w:ascii="宋体" w:hAnsi="宋体" w:cs="宋体"/>
                <w:color w:val="000000"/>
                <w:kern w:val="0"/>
              </w:rPr>
            </w:pPr>
            <w:bookmarkStart w:id="6" w:name="_Hlk165646327"/>
            <w:r>
              <w:rPr>
                <w:rFonts w:hint="eastAsia" w:ascii="宋体" w:hAnsi="宋体" w:cs="宋体"/>
                <w:color w:val="000000"/>
                <w:kern w:val="0"/>
              </w:rPr>
              <w:t>课程类别</w:t>
            </w:r>
          </w:p>
        </w:tc>
        <w:tc>
          <w:tcPr>
            <w:tcW w:w="1465" w:type="dxa"/>
            <w:vMerge w:val="restart"/>
            <w:tcBorders>
              <w:top w:val="single" w:color="auto" w:sz="4" w:space="0"/>
              <w:left w:val="single" w:color="auto" w:sz="4" w:space="0"/>
              <w:bottom w:val="single" w:color="000000" w:sz="4" w:space="0"/>
              <w:right w:val="single" w:color="auto" w:sz="4" w:space="0"/>
            </w:tcBorders>
            <w:vAlign w:val="center"/>
          </w:tcPr>
          <w:p w14:paraId="3A59DDE3">
            <w:pPr>
              <w:widowControl/>
              <w:spacing w:before="163" w:beforeLines="50" w:after="163" w:afterLines="50"/>
              <w:jc w:val="center"/>
              <w:rPr>
                <w:rFonts w:ascii="宋体" w:hAnsi="宋体" w:cs="宋体"/>
                <w:color w:val="000000"/>
                <w:kern w:val="0"/>
              </w:rPr>
            </w:pPr>
            <w:r>
              <w:rPr>
                <w:rFonts w:hint="eastAsia" w:ascii="宋体" w:hAnsi="宋体" w:cs="宋体"/>
                <w:color w:val="000000"/>
                <w:kern w:val="0"/>
              </w:rPr>
              <w:t>公共基础课</w:t>
            </w:r>
          </w:p>
        </w:tc>
        <w:tc>
          <w:tcPr>
            <w:tcW w:w="1559" w:type="dxa"/>
            <w:vMerge w:val="restart"/>
            <w:tcBorders>
              <w:top w:val="single" w:color="auto" w:sz="4" w:space="0"/>
              <w:left w:val="single" w:color="auto" w:sz="4" w:space="0"/>
              <w:bottom w:val="single" w:color="000000" w:sz="4" w:space="0"/>
              <w:right w:val="single" w:color="auto" w:sz="4" w:space="0"/>
            </w:tcBorders>
            <w:vAlign w:val="center"/>
          </w:tcPr>
          <w:p w14:paraId="663D6904">
            <w:pPr>
              <w:widowControl/>
              <w:spacing w:before="163" w:beforeLines="50" w:after="163" w:afterLines="50"/>
              <w:jc w:val="center"/>
              <w:rPr>
                <w:rFonts w:ascii="宋体" w:hAnsi="宋体" w:cs="宋体"/>
                <w:color w:val="000000"/>
                <w:kern w:val="0"/>
              </w:rPr>
            </w:pPr>
            <w:r>
              <w:rPr>
                <w:rFonts w:hint="eastAsia" w:ascii="宋体" w:hAnsi="宋体" w:cs="宋体"/>
                <w:color w:val="000000"/>
                <w:kern w:val="0"/>
              </w:rPr>
              <w:t>专业</w:t>
            </w:r>
          </w:p>
          <w:p w14:paraId="0B29B734">
            <w:pPr>
              <w:widowControl/>
              <w:spacing w:before="163" w:beforeLines="50" w:after="163" w:afterLines="50"/>
              <w:jc w:val="center"/>
              <w:rPr>
                <w:rFonts w:ascii="宋体" w:hAnsi="宋体" w:cs="宋体"/>
                <w:color w:val="000000"/>
                <w:kern w:val="0"/>
              </w:rPr>
            </w:pPr>
            <w:r>
              <w:rPr>
                <w:rFonts w:hint="eastAsia" w:ascii="宋体" w:hAnsi="宋体" w:cs="宋体"/>
                <w:color w:val="000000"/>
                <w:kern w:val="0"/>
              </w:rPr>
              <w:t>基础课</w:t>
            </w:r>
          </w:p>
        </w:tc>
        <w:tc>
          <w:tcPr>
            <w:tcW w:w="1701" w:type="dxa"/>
            <w:vMerge w:val="restart"/>
            <w:tcBorders>
              <w:top w:val="single" w:color="auto" w:sz="4" w:space="0"/>
              <w:left w:val="single" w:color="auto" w:sz="4" w:space="0"/>
              <w:bottom w:val="single" w:color="000000" w:sz="4" w:space="0"/>
              <w:right w:val="single" w:color="auto" w:sz="4" w:space="0"/>
            </w:tcBorders>
            <w:vAlign w:val="center"/>
          </w:tcPr>
          <w:p w14:paraId="21A6D626">
            <w:pPr>
              <w:widowControl/>
              <w:spacing w:before="163" w:beforeLines="50" w:after="163" w:afterLines="50"/>
              <w:jc w:val="center"/>
              <w:rPr>
                <w:rFonts w:ascii="宋体" w:hAnsi="宋体" w:cs="宋体"/>
                <w:color w:val="000000"/>
                <w:kern w:val="0"/>
              </w:rPr>
            </w:pPr>
            <w:r>
              <w:rPr>
                <w:rFonts w:hint="eastAsia" w:ascii="宋体" w:hAnsi="宋体" w:cs="宋体"/>
                <w:color w:val="000000"/>
                <w:kern w:val="0"/>
              </w:rPr>
              <w:t>专业核心课</w:t>
            </w:r>
          </w:p>
          <w:p w14:paraId="5749D88B">
            <w:pPr>
              <w:widowControl/>
              <w:spacing w:before="163" w:beforeLines="50" w:after="163" w:afterLines="50"/>
              <w:jc w:val="center"/>
              <w:rPr>
                <w:rFonts w:ascii="宋体" w:hAnsi="宋体" w:cs="宋体"/>
                <w:color w:val="000000"/>
                <w:kern w:val="0"/>
              </w:rPr>
            </w:pPr>
            <w:r>
              <w:rPr>
                <w:rFonts w:hint="eastAsia" w:ascii="宋体" w:hAnsi="宋体" w:cs="宋体"/>
                <w:color w:val="000000"/>
                <w:kern w:val="0"/>
              </w:rPr>
              <w:t>（含岗位实习）</w:t>
            </w:r>
          </w:p>
        </w:tc>
        <w:tc>
          <w:tcPr>
            <w:tcW w:w="1276" w:type="dxa"/>
            <w:vMerge w:val="restart"/>
            <w:tcBorders>
              <w:top w:val="single" w:color="auto" w:sz="4" w:space="0"/>
              <w:left w:val="single" w:color="auto" w:sz="4" w:space="0"/>
              <w:bottom w:val="single" w:color="000000" w:sz="4" w:space="0"/>
              <w:right w:val="single" w:color="auto" w:sz="4" w:space="0"/>
            </w:tcBorders>
            <w:vAlign w:val="center"/>
          </w:tcPr>
          <w:p w14:paraId="26F5AFDC">
            <w:pPr>
              <w:widowControl/>
              <w:spacing w:before="163" w:beforeLines="50" w:after="163" w:afterLines="50"/>
              <w:jc w:val="center"/>
              <w:rPr>
                <w:rFonts w:ascii="宋体" w:hAnsi="宋体" w:cs="宋体"/>
                <w:color w:val="000000"/>
                <w:kern w:val="0"/>
              </w:rPr>
            </w:pPr>
            <w:r>
              <w:rPr>
                <w:rFonts w:hint="eastAsia" w:ascii="宋体" w:hAnsi="宋体" w:cs="宋体"/>
                <w:color w:val="000000"/>
                <w:kern w:val="0"/>
              </w:rPr>
              <w:t>选修课</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14:paraId="21C390A0">
            <w:pPr>
              <w:widowControl/>
              <w:spacing w:before="163" w:beforeLines="50" w:after="163" w:afterLines="50"/>
              <w:jc w:val="center"/>
              <w:rPr>
                <w:rFonts w:ascii="宋体" w:hAnsi="宋体" w:cs="宋体"/>
                <w:color w:val="000000"/>
                <w:kern w:val="0"/>
              </w:rPr>
            </w:pPr>
            <w:r>
              <w:rPr>
                <w:rFonts w:hint="eastAsia" w:ascii="宋体" w:hAnsi="宋体" w:cs="宋体"/>
                <w:color w:val="000000"/>
                <w:kern w:val="0"/>
              </w:rPr>
              <w:t>合计</w:t>
            </w:r>
          </w:p>
        </w:tc>
      </w:tr>
      <w:tr w14:paraId="258A4834">
        <w:tblPrEx>
          <w:tblCellMar>
            <w:top w:w="0" w:type="dxa"/>
            <w:left w:w="108" w:type="dxa"/>
            <w:bottom w:w="0" w:type="dxa"/>
            <w:right w:w="108" w:type="dxa"/>
          </w:tblCellMar>
        </w:tblPrEx>
        <w:trPr>
          <w:trHeight w:val="331" w:hRule="atLeast"/>
        </w:trPr>
        <w:tc>
          <w:tcPr>
            <w:tcW w:w="1541" w:type="dxa"/>
            <w:vMerge w:val="continue"/>
            <w:tcBorders>
              <w:top w:val="single" w:color="auto" w:sz="4" w:space="0"/>
              <w:left w:val="single" w:color="auto" w:sz="4" w:space="0"/>
              <w:bottom w:val="single" w:color="000000" w:sz="4" w:space="0"/>
              <w:right w:val="single" w:color="000000" w:sz="4" w:space="0"/>
            </w:tcBorders>
            <w:vAlign w:val="center"/>
          </w:tcPr>
          <w:p w14:paraId="05001333">
            <w:pPr>
              <w:widowControl/>
              <w:jc w:val="center"/>
              <w:rPr>
                <w:rFonts w:ascii="宋体" w:hAnsi="宋体" w:cs="宋体"/>
                <w:color w:val="000000"/>
                <w:kern w:val="0"/>
              </w:rPr>
            </w:pPr>
          </w:p>
        </w:tc>
        <w:tc>
          <w:tcPr>
            <w:tcW w:w="1465" w:type="dxa"/>
            <w:vMerge w:val="continue"/>
            <w:tcBorders>
              <w:top w:val="single" w:color="auto" w:sz="4" w:space="0"/>
              <w:left w:val="single" w:color="auto" w:sz="4" w:space="0"/>
              <w:bottom w:val="single" w:color="000000" w:sz="4" w:space="0"/>
              <w:right w:val="single" w:color="auto" w:sz="4" w:space="0"/>
            </w:tcBorders>
            <w:vAlign w:val="center"/>
          </w:tcPr>
          <w:p w14:paraId="0E957002">
            <w:pPr>
              <w:widowControl/>
              <w:jc w:val="center"/>
              <w:rPr>
                <w:rFonts w:ascii="宋体" w:hAnsi="宋体" w:cs="宋体"/>
                <w:color w:val="000000"/>
                <w:kern w:val="0"/>
              </w:rPr>
            </w:pPr>
          </w:p>
        </w:tc>
        <w:tc>
          <w:tcPr>
            <w:tcW w:w="1559" w:type="dxa"/>
            <w:vMerge w:val="continue"/>
            <w:tcBorders>
              <w:top w:val="single" w:color="auto" w:sz="4" w:space="0"/>
              <w:left w:val="single" w:color="auto" w:sz="4" w:space="0"/>
              <w:bottom w:val="single" w:color="000000" w:sz="4" w:space="0"/>
              <w:right w:val="single" w:color="auto" w:sz="4" w:space="0"/>
            </w:tcBorders>
            <w:vAlign w:val="center"/>
          </w:tcPr>
          <w:p w14:paraId="1C0085EF">
            <w:pPr>
              <w:widowControl/>
              <w:jc w:val="center"/>
              <w:rPr>
                <w:rFonts w:ascii="宋体" w:hAnsi="宋体" w:cs="宋体"/>
                <w:color w:val="000000"/>
                <w:kern w:val="0"/>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14:paraId="213D7527">
            <w:pPr>
              <w:widowControl/>
              <w:jc w:val="center"/>
              <w:rPr>
                <w:rFonts w:ascii="宋体" w:hAnsi="宋体" w:cs="宋体"/>
                <w:color w:val="000000"/>
                <w:kern w:val="0"/>
              </w:rPr>
            </w:pPr>
          </w:p>
        </w:tc>
        <w:tc>
          <w:tcPr>
            <w:tcW w:w="1276" w:type="dxa"/>
            <w:vMerge w:val="continue"/>
            <w:tcBorders>
              <w:top w:val="single" w:color="auto" w:sz="4" w:space="0"/>
              <w:left w:val="single" w:color="auto" w:sz="4" w:space="0"/>
              <w:bottom w:val="single" w:color="000000" w:sz="4" w:space="0"/>
              <w:right w:val="single" w:color="auto" w:sz="4" w:space="0"/>
            </w:tcBorders>
            <w:vAlign w:val="center"/>
          </w:tcPr>
          <w:p w14:paraId="6C2172F3">
            <w:pPr>
              <w:widowControl/>
              <w:jc w:val="center"/>
              <w:rPr>
                <w:rFonts w:ascii="宋体" w:hAnsi="宋体" w:cs="宋体"/>
                <w:color w:val="000000"/>
                <w:kern w:val="0"/>
              </w:rPr>
            </w:pP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14:paraId="5FF1D6A6">
            <w:pPr>
              <w:widowControl/>
              <w:jc w:val="center"/>
              <w:rPr>
                <w:rFonts w:ascii="宋体" w:hAnsi="宋体" w:cs="宋体"/>
                <w:color w:val="000000"/>
                <w:kern w:val="0"/>
              </w:rPr>
            </w:pPr>
          </w:p>
        </w:tc>
      </w:tr>
      <w:tr w14:paraId="3F374C29">
        <w:tblPrEx>
          <w:tblCellMar>
            <w:top w:w="0" w:type="dxa"/>
            <w:left w:w="108" w:type="dxa"/>
            <w:bottom w:w="0" w:type="dxa"/>
            <w:right w:w="108" w:type="dxa"/>
          </w:tblCellMar>
        </w:tblPrEx>
        <w:trPr>
          <w:trHeight w:val="493" w:hRule="atLeast"/>
        </w:trPr>
        <w:tc>
          <w:tcPr>
            <w:tcW w:w="1541" w:type="dxa"/>
            <w:tcBorders>
              <w:top w:val="single" w:color="auto" w:sz="4" w:space="0"/>
              <w:left w:val="single" w:color="auto" w:sz="4" w:space="0"/>
              <w:bottom w:val="single" w:color="auto" w:sz="4" w:space="0"/>
              <w:right w:val="single" w:color="000000" w:sz="4" w:space="0"/>
            </w:tcBorders>
            <w:vAlign w:val="center"/>
          </w:tcPr>
          <w:p w14:paraId="2DB6E2C9">
            <w:pPr>
              <w:widowControl/>
              <w:jc w:val="center"/>
              <w:rPr>
                <w:rFonts w:ascii="宋体" w:hAnsi="宋体" w:cs="宋体"/>
                <w:color w:val="000000"/>
                <w:kern w:val="0"/>
              </w:rPr>
            </w:pPr>
            <w:r>
              <w:rPr>
                <w:rFonts w:hint="eastAsia" w:ascii="宋体" w:hAnsi="宋体" w:cs="宋体"/>
                <w:color w:val="000000"/>
                <w:kern w:val="0"/>
              </w:rPr>
              <w:t>理论课学时</w:t>
            </w:r>
          </w:p>
        </w:tc>
        <w:tc>
          <w:tcPr>
            <w:tcW w:w="1465" w:type="dxa"/>
            <w:tcBorders>
              <w:top w:val="nil"/>
              <w:left w:val="nil"/>
              <w:bottom w:val="single" w:color="auto" w:sz="4" w:space="0"/>
              <w:right w:val="single" w:color="auto" w:sz="4" w:space="0"/>
            </w:tcBorders>
            <w:vAlign w:val="center"/>
          </w:tcPr>
          <w:p w14:paraId="1D3B9AA4">
            <w:pPr>
              <w:widowControl/>
              <w:jc w:val="center"/>
              <w:rPr>
                <w:rFonts w:hint="eastAsia" w:ascii="宋体" w:hAnsi="宋体" w:eastAsia="宋体" w:cs="宋体"/>
                <w:color w:val="000000"/>
                <w:kern w:val="0"/>
                <w:lang w:eastAsia="zh-CN"/>
              </w:rPr>
            </w:pPr>
            <w:r>
              <w:rPr>
                <w:rFonts w:ascii="宋体" w:hAnsi="宋体" w:cs="宋体"/>
                <w:color w:val="000000"/>
                <w:kern w:val="0"/>
              </w:rPr>
              <w:t>52</w:t>
            </w:r>
            <w:r>
              <w:rPr>
                <w:rFonts w:hint="eastAsia" w:ascii="宋体" w:hAnsi="宋体" w:cs="宋体"/>
                <w:color w:val="000000"/>
                <w:kern w:val="0"/>
                <w:lang w:eastAsia="zh-CN"/>
              </w:rPr>
              <w:t>7</w:t>
            </w:r>
          </w:p>
        </w:tc>
        <w:tc>
          <w:tcPr>
            <w:tcW w:w="1559" w:type="dxa"/>
            <w:tcBorders>
              <w:top w:val="nil"/>
              <w:left w:val="nil"/>
              <w:bottom w:val="single" w:color="auto" w:sz="4" w:space="0"/>
              <w:right w:val="single" w:color="auto" w:sz="4" w:space="0"/>
            </w:tcBorders>
            <w:vAlign w:val="center"/>
          </w:tcPr>
          <w:p w14:paraId="0405478A">
            <w:pPr>
              <w:widowControl/>
              <w:jc w:val="center"/>
              <w:rPr>
                <w:rFonts w:hint="eastAsia" w:ascii="宋体" w:hAnsi="宋体" w:eastAsia="宋体" w:cs="宋体"/>
                <w:color w:val="000000"/>
                <w:kern w:val="0"/>
                <w:lang w:eastAsia="zh-CN"/>
              </w:rPr>
            </w:pPr>
            <w:r>
              <w:rPr>
                <w:rFonts w:hint="eastAsia" w:ascii="宋体" w:hAnsi="宋体" w:cs="宋体"/>
                <w:color w:val="000000"/>
                <w:kern w:val="0"/>
                <w:lang w:eastAsia="zh-CN"/>
              </w:rPr>
              <w:t>270</w:t>
            </w:r>
          </w:p>
        </w:tc>
        <w:tc>
          <w:tcPr>
            <w:tcW w:w="1701" w:type="dxa"/>
            <w:tcBorders>
              <w:top w:val="nil"/>
              <w:left w:val="nil"/>
              <w:bottom w:val="single" w:color="auto" w:sz="4" w:space="0"/>
              <w:right w:val="single" w:color="auto" w:sz="4" w:space="0"/>
            </w:tcBorders>
            <w:vAlign w:val="center"/>
          </w:tcPr>
          <w:p w14:paraId="77694F23">
            <w:pPr>
              <w:widowControl/>
              <w:jc w:val="center"/>
              <w:rPr>
                <w:rFonts w:hint="eastAsia" w:ascii="宋体" w:hAnsi="宋体" w:eastAsia="宋体" w:cs="宋体"/>
                <w:color w:val="000000"/>
                <w:kern w:val="0"/>
                <w:lang w:eastAsia="zh-CN"/>
              </w:rPr>
            </w:pPr>
            <w:r>
              <w:rPr>
                <w:rFonts w:ascii="宋体" w:hAnsi="宋体" w:cs="宋体"/>
                <w:color w:val="000000"/>
                <w:kern w:val="0"/>
              </w:rPr>
              <w:t>22</w:t>
            </w:r>
            <w:r>
              <w:rPr>
                <w:rFonts w:hint="eastAsia" w:ascii="宋体" w:hAnsi="宋体" w:cs="宋体"/>
                <w:color w:val="000000"/>
                <w:kern w:val="0"/>
                <w:lang w:eastAsia="zh-CN"/>
              </w:rPr>
              <w:t>8</w:t>
            </w:r>
          </w:p>
        </w:tc>
        <w:tc>
          <w:tcPr>
            <w:tcW w:w="1276" w:type="dxa"/>
            <w:tcBorders>
              <w:top w:val="nil"/>
              <w:left w:val="nil"/>
              <w:bottom w:val="single" w:color="auto" w:sz="4" w:space="0"/>
              <w:right w:val="single" w:color="auto" w:sz="4" w:space="0"/>
            </w:tcBorders>
            <w:vAlign w:val="center"/>
          </w:tcPr>
          <w:p w14:paraId="4916B494">
            <w:pPr>
              <w:widowControl/>
              <w:jc w:val="center"/>
              <w:rPr>
                <w:rFonts w:hint="eastAsia" w:ascii="宋体" w:hAnsi="宋体" w:eastAsia="宋体" w:cs="宋体"/>
                <w:color w:val="000000"/>
                <w:kern w:val="0"/>
                <w:lang w:eastAsia="zh-CN"/>
              </w:rPr>
            </w:pPr>
            <w:r>
              <w:rPr>
                <w:rFonts w:ascii="宋体" w:hAnsi="宋体" w:cs="宋体"/>
                <w:color w:val="000000"/>
                <w:kern w:val="0"/>
              </w:rPr>
              <w:t>13</w:t>
            </w:r>
            <w:r>
              <w:rPr>
                <w:rFonts w:hint="eastAsia" w:ascii="宋体" w:hAnsi="宋体" w:cs="宋体"/>
                <w:color w:val="000000"/>
                <w:kern w:val="0"/>
                <w:lang w:eastAsia="zh-CN"/>
              </w:rPr>
              <w:t>4</w:t>
            </w:r>
          </w:p>
        </w:tc>
        <w:tc>
          <w:tcPr>
            <w:tcW w:w="1275" w:type="dxa"/>
            <w:tcBorders>
              <w:top w:val="nil"/>
              <w:left w:val="nil"/>
              <w:bottom w:val="single" w:color="auto" w:sz="4" w:space="0"/>
              <w:right w:val="single" w:color="auto" w:sz="4" w:space="0"/>
            </w:tcBorders>
            <w:vAlign w:val="center"/>
          </w:tcPr>
          <w:p w14:paraId="6E4D6144">
            <w:pPr>
              <w:widowControl/>
              <w:jc w:val="center"/>
              <w:rPr>
                <w:rFonts w:hint="eastAsia" w:ascii="宋体" w:hAnsi="宋体" w:eastAsia="宋体" w:cs="宋体"/>
                <w:color w:val="000000"/>
                <w:kern w:val="0"/>
                <w:lang w:eastAsia="zh-CN"/>
              </w:rPr>
            </w:pPr>
            <w:r>
              <w:rPr>
                <w:rFonts w:ascii="宋体" w:hAnsi="宋体" w:cs="宋体"/>
                <w:color w:val="000000"/>
                <w:kern w:val="0"/>
              </w:rPr>
              <w:t>1</w:t>
            </w:r>
            <w:r>
              <w:rPr>
                <w:rFonts w:hint="eastAsia" w:ascii="宋体" w:hAnsi="宋体" w:cs="宋体"/>
                <w:color w:val="000000"/>
                <w:kern w:val="0"/>
                <w:lang w:eastAsia="zh-CN"/>
              </w:rPr>
              <w:t>159</w:t>
            </w:r>
          </w:p>
        </w:tc>
      </w:tr>
      <w:tr w14:paraId="086A1DDD">
        <w:tblPrEx>
          <w:tblCellMar>
            <w:top w:w="0" w:type="dxa"/>
            <w:left w:w="108" w:type="dxa"/>
            <w:bottom w:w="0" w:type="dxa"/>
            <w:right w:w="108" w:type="dxa"/>
          </w:tblCellMar>
        </w:tblPrEx>
        <w:trPr>
          <w:trHeight w:val="479" w:hRule="atLeast"/>
        </w:trPr>
        <w:tc>
          <w:tcPr>
            <w:tcW w:w="1541" w:type="dxa"/>
            <w:tcBorders>
              <w:top w:val="single" w:color="auto" w:sz="4" w:space="0"/>
              <w:left w:val="single" w:color="auto" w:sz="4" w:space="0"/>
              <w:bottom w:val="single" w:color="auto" w:sz="4" w:space="0"/>
              <w:right w:val="single" w:color="000000" w:sz="4" w:space="0"/>
            </w:tcBorders>
            <w:vAlign w:val="center"/>
          </w:tcPr>
          <w:p w14:paraId="2A06EC39">
            <w:pPr>
              <w:widowControl/>
              <w:jc w:val="center"/>
              <w:rPr>
                <w:rFonts w:ascii="宋体" w:hAnsi="宋体" w:cs="宋体"/>
                <w:color w:val="000000"/>
                <w:kern w:val="0"/>
              </w:rPr>
            </w:pPr>
            <w:r>
              <w:rPr>
                <w:rFonts w:hint="eastAsia" w:ascii="宋体" w:hAnsi="宋体" w:cs="宋体"/>
                <w:color w:val="000000"/>
                <w:kern w:val="0"/>
              </w:rPr>
              <w:t>所占比例（%）</w:t>
            </w:r>
          </w:p>
        </w:tc>
        <w:tc>
          <w:tcPr>
            <w:tcW w:w="1465" w:type="dxa"/>
            <w:tcBorders>
              <w:top w:val="nil"/>
              <w:left w:val="nil"/>
              <w:bottom w:val="single" w:color="auto" w:sz="4" w:space="0"/>
              <w:right w:val="single" w:color="auto" w:sz="4" w:space="0"/>
            </w:tcBorders>
            <w:vAlign w:val="center"/>
          </w:tcPr>
          <w:p w14:paraId="6006C2C8">
            <w:pPr>
              <w:widowControl/>
              <w:jc w:val="center"/>
              <w:rPr>
                <w:rFonts w:hint="eastAsia" w:ascii="宋体" w:hAnsi="宋体" w:eastAsia="宋体" w:cs="宋体"/>
                <w:color w:val="000000"/>
                <w:kern w:val="0"/>
                <w:lang w:eastAsia="zh-CN"/>
              </w:rPr>
            </w:pPr>
            <w:r>
              <w:rPr>
                <w:rFonts w:hint="eastAsia" w:ascii="宋体" w:hAnsi="宋体" w:cs="宋体"/>
                <w:color w:val="000000"/>
                <w:kern w:val="0"/>
                <w:lang w:eastAsia="zh-CN"/>
              </w:rPr>
              <w:t>19.8</w:t>
            </w:r>
          </w:p>
        </w:tc>
        <w:tc>
          <w:tcPr>
            <w:tcW w:w="1559" w:type="dxa"/>
            <w:tcBorders>
              <w:top w:val="nil"/>
              <w:left w:val="nil"/>
              <w:bottom w:val="single" w:color="auto" w:sz="4" w:space="0"/>
              <w:right w:val="single" w:color="auto" w:sz="4" w:space="0"/>
            </w:tcBorders>
            <w:vAlign w:val="center"/>
          </w:tcPr>
          <w:p w14:paraId="2D0C60DA">
            <w:pPr>
              <w:widowControl/>
              <w:jc w:val="center"/>
              <w:rPr>
                <w:rFonts w:hint="eastAsia" w:ascii="宋体" w:hAnsi="宋体" w:eastAsia="宋体" w:cs="宋体"/>
                <w:color w:val="000000"/>
                <w:kern w:val="0"/>
                <w:lang w:eastAsia="zh-CN"/>
              </w:rPr>
            </w:pPr>
            <w:r>
              <w:rPr>
                <w:rFonts w:hint="eastAsia" w:ascii="宋体" w:hAnsi="宋体" w:cs="宋体"/>
                <w:color w:val="000000"/>
                <w:kern w:val="0"/>
                <w:lang w:eastAsia="zh-CN"/>
              </w:rPr>
              <w:t>10.1</w:t>
            </w:r>
          </w:p>
        </w:tc>
        <w:tc>
          <w:tcPr>
            <w:tcW w:w="1701" w:type="dxa"/>
            <w:tcBorders>
              <w:top w:val="nil"/>
              <w:left w:val="nil"/>
              <w:bottom w:val="single" w:color="auto" w:sz="4" w:space="0"/>
              <w:right w:val="single" w:color="auto" w:sz="4" w:space="0"/>
            </w:tcBorders>
            <w:vAlign w:val="center"/>
          </w:tcPr>
          <w:p w14:paraId="4CDB1D77">
            <w:pPr>
              <w:widowControl/>
              <w:jc w:val="center"/>
              <w:rPr>
                <w:rFonts w:hint="eastAsia" w:ascii="宋体" w:hAnsi="宋体" w:eastAsia="宋体" w:cs="宋体"/>
                <w:color w:val="000000"/>
                <w:kern w:val="0"/>
                <w:lang w:eastAsia="zh-CN"/>
              </w:rPr>
            </w:pPr>
            <w:r>
              <w:rPr>
                <w:rFonts w:ascii="宋体" w:hAnsi="宋体" w:cs="宋体"/>
                <w:color w:val="000000"/>
                <w:kern w:val="0"/>
              </w:rPr>
              <w:t>8.</w:t>
            </w:r>
            <w:r>
              <w:rPr>
                <w:rFonts w:hint="eastAsia" w:ascii="宋体" w:hAnsi="宋体" w:cs="宋体"/>
                <w:color w:val="000000"/>
                <w:kern w:val="0"/>
                <w:lang w:eastAsia="zh-CN"/>
              </w:rPr>
              <w:t>6</w:t>
            </w:r>
          </w:p>
        </w:tc>
        <w:tc>
          <w:tcPr>
            <w:tcW w:w="1276" w:type="dxa"/>
            <w:tcBorders>
              <w:top w:val="nil"/>
              <w:left w:val="nil"/>
              <w:bottom w:val="single" w:color="auto" w:sz="4" w:space="0"/>
              <w:right w:val="single" w:color="auto" w:sz="4" w:space="0"/>
            </w:tcBorders>
            <w:vAlign w:val="center"/>
          </w:tcPr>
          <w:p w14:paraId="70FFC23A">
            <w:pPr>
              <w:widowControl/>
              <w:jc w:val="center"/>
              <w:rPr>
                <w:rFonts w:ascii="宋体" w:hAnsi="宋体" w:cs="宋体"/>
                <w:color w:val="000000"/>
                <w:kern w:val="0"/>
              </w:rPr>
            </w:pPr>
            <w:r>
              <w:rPr>
                <w:rFonts w:ascii="宋体" w:hAnsi="宋体" w:cs="宋体"/>
                <w:color w:val="000000"/>
                <w:kern w:val="0"/>
              </w:rPr>
              <w:t>5</w:t>
            </w:r>
          </w:p>
        </w:tc>
        <w:tc>
          <w:tcPr>
            <w:tcW w:w="1275" w:type="dxa"/>
            <w:tcBorders>
              <w:top w:val="nil"/>
              <w:left w:val="nil"/>
              <w:bottom w:val="single" w:color="auto" w:sz="4" w:space="0"/>
              <w:right w:val="single" w:color="auto" w:sz="4" w:space="0"/>
            </w:tcBorders>
            <w:vAlign w:val="center"/>
          </w:tcPr>
          <w:p w14:paraId="204E651D">
            <w:pPr>
              <w:widowControl/>
              <w:jc w:val="center"/>
              <w:rPr>
                <w:rFonts w:hint="eastAsia" w:ascii="宋体" w:hAnsi="宋体" w:eastAsia="宋体" w:cs="宋体"/>
                <w:color w:val="000000"/>
                <w:kern w:val="0"/>
                <w:lang w:eastAsia="zh-CN"/>
              </w:rPr>
            </w:pPr>
            <w:r>
              <w:rPr>
                <w:rFonts w:ascii="宋体" w:hAnsi="宋体" w:cs="宋体"/>
                <w:color w:val="000000"/>
                <w:kern w:val="0"/>
              </w:rPr>
              <w:t>4</w:t>
            </w:r>
            <w:r>
              <w:rPr>
                <w:rFonts w:hint="eastAsia" w:ascii="宋体" w:hAnsi="宋体" w:cs="宋体"/>
                <w:color w:val="000000"/>
                <w:kern w:val="0"/>
                <w:lang w:eastAsia="zh-CN"/>
              </w:rPr>
              <w:t>3.5</w:t>
            </w:r>
          </w:p>
        </w:tc>
      </w:tr>
      <w:tr w14:paraId="65CF08A9">
        <w:tblPrEx>
          <w:tblCellMar>
            <w:top w:w="0" w:type="dxa"/>
            <w:left w:w="108" w:type="dxa"/>
            <w:bottom w:w="0" w:type="dxa"/>
            <w:right w:w="108" w:type="dxa"/>
          </w:tblCellMar>
        </w:tblPrEx>
        <w:trPr>
          <w:trHeight w:val="459" w:hRule="atLeast"/>
        </w:trPr>
        <w:tc>
          <w:tcPr>
            <w:tcW w:w="1541" w:type="dxa"/>
            <w:tcBorders>
              <w:top w:val="single" w:color="auto" w:sz="4" w:space="0"/>
              <w:left w:val="single" w:color="auto" w:sz="4" w:space="0"/>
              <w:bottom w:val="single" w:color="auto" w:sz="4" w:space="0"/>
              <w:right w:val="single" w:color="000000" w:sz="4" w:space="0"/>
            </w:tcBorders>
            <w:vAlign w:val="center"/>
          </w:tcPr>
          <w:p w14:paraId="309D5656">
            <w:pPr>
              <w:widowControl/>
              <w:jc w:val="center"/>
              <w:rPr>
                <w:rFonts w:ascii="宋体" w:hAnsi="宋体" w:cs="宋体"/>
                <w:color w:val="000000"/>
                <w:kern w:val="0"/>
              </w:rPr>
            </w:pPr>
            <w:r>
              <w:rPr>
                <w:rFonts w:hint="eastAsia" w:ascii="宋体" w:hAnsi="宋体" w:cs="宋体"/>
                <w:color w:val="000000"/>
                <w:kern w:val="0"/>
              </w:rPr>
              <w:t>实践课学时</w:t>
            </w:r>
          </w:p>
        </w:tc>
        <w:tc>
          <w:tcPr>
            <w:tcW w:w="1465" w:type="dxa"/>
            <w:tcBorders>
              <w:top w:val="nil"/>
              <w:left w:val="nil"/>
              <w:bottom w:val="single" w:color="auto" w:sz="4" w:space="0"/>
              <w:right w:val="single" w:color="auto" w:sz="4" w:space="0"/>
            </w:tcBorders>
            <w:vAlign w:val="center"/>
          </w:tcPr>
          <w:p w14:paraId="1AFBBF75">
            <w:pPr>
              <w:widowControl/>
              <w:jc w:val="center"/>
              <w:rPr>
                <w:rFonts w:hint="eastAsia" w:ascii="宋体" w:hAnsi="宋体" w:eastAsia="宋体" w:cs="宋体"/>
                <w:color w:val="000000"/>
                <w:kern w:val="0"/>
                <w:lang w:eastAsia="zh-CN"/>
              </w:rPr>
            </w:pPr>
            <w:r>
              <w:rPr>
                <w:rFonts w:ascii="宋体" w:hAnsi="宋体" w:cs="宋体"/>
                <w:color w:val="000000"/>
                <w:kern w:val="0"/>
              </w:rPr>
              <w:t>2</w:t>
            </w:r>
            <w:r>
              <w:rPr>
                <w:rFonts w:hint="eastAsia" w:ascii="宋体" w:hAnsi="宋体" w:cs="宋体"/>
                <w:color w:val="000000"/>
                <w:kern w:val="0"/>
                <w:lang w:eastAsia="zh-CN"/>
              </w:rPr>
              <w:t>61</w:t>
            </w:r>
          </w:p>
        </w:tc>
        <w:tc>
          <w:tcPr>
            <w:tcW w:w="1559" w:type="dxa"/>
            <w:tcBorders>
              <w:top w:val="nil"/>
              <w:left w:val="nil"/>
              <w:bottom w:val="single" w:color="auto" w:sz="4" w:space="0"/>
              <w:right w:val="single" w:color="auto" w:sz="4" w:space="0"/>
            </w:tcBorders>
            <w:vAlign w:val="center"/>
          </w:tcPr>
          <w:p w14:paraId="3450C7D8">
            <w:pPr>
              <w:widowControl/>
              <w:jc w:val="center"/>
              <w:rPr>
                <w:rFonts w:hint="eastAsia" w:ascii="宋体" w:hAnsi="宋体" w:eastAsia="宋体" w:cs="宋体"/>
                <w:color w:val="000000"/>
                <w:kern w:val="0"/>
                <w:lang w:eastAsia="zh-CN"/>
              </w:rPr>
            </w:pPr>
            <w:r>
              <w:rPr>
                <w:rFonts w:hint="eastAsia" w:ascii="宋体" w:hAnsi="宋体" w:cs="宋体"/>
                <w:color w:val="000000"/>
                <w:kern w:val="0"/>
                <w:lang w:eastAsia="zh-CN"/>
              </w:rPr>
              <w:t>246</w:t>
            </w:r>
          </w:p>
        </w:tc>
        <w:tc>
          <w:tcPr>
            <w:tcW w:w="1701" w:type="dxa"/>
            <w:tcBorders>
              <w:top w:val="nil"/>
              <w:left w:val="nil"/>
              <w:bottom w:val="single" w:color="auto" w:sz="4" w:space="0"/>
              <w:right w:val="single" w:color="auto" w:sz="4" w:space="0"/>
            </w:tcBorders>
            <w:vAlign w:val="center"/>
          </w:tcPr>
          <w:p w14:paraId="5B386657">
            <w:pPr>
              <w:widowControl/>
              <w:jc w:val="center"/>
              <w:rPr>
                <w:rFonts w:hint="eastAsia" w:ascii="宋体" w:hAnsi="宋体" w:eastAsia="宋体" w:cs="宋体"/>
                <w:color w:val="000000"/>
                <w:kern w:val="0"/>
                <w:lang w:eastAsia="zh-CN"/>
              </w:rPr>
            </w:pPr>
            <w:r>
              <w:rPr>
                <w:rFonts w:hint="eastAsia" w:ascii="宋体" w:hAnsi="宋体" w:cs="宋体"/>
                <w:color w:val="000000"/>
                <w:kern w:val="0"/>
                <w:lang w:eastAsia="zh-CN"/>
              </w:rPr>
              <w:t>876</w:t>
            </w:r>
          </w:p>
        </w:tc>
        <w:tc>
          <w:tcPr>
            <w:tcW w:w="1276" w:type="dxa"/>
            <w:tcBorders>
              <w:top w:val="nil"/>
              <w:left w:val="nil"/>
              <w:bottom w:val="single" w:color="auto" w:sz="4" w:space="0"/>
              <w:right w:val="single" w:color="auto" w:sz="4" w:space="0"/>
            </w:tcBorders>
            <w:vAlign w:val="center"/>
          </w:tcPr>
          <w:p w14:paraId="05D36BE8">
            <w:pPr>
              <w:widowControl/>
              <w:jc w:val="center"/>
              <w:rPr>
                <w:rFonts w:hint="eastAsia" w:ascii="宋体" w:hAnsi="宋体" w:eastAsia="宋体" w:cs="宋体"/>
                <w:color w:val="000000"/>
                <w:kern w:val="0"/>
                <w:lang w:eastAsia="zh-CN"/>
              </w:rPr>
            </w:pPr>
            <w:r>
              <w:rPr>
                <w:rFonts w:ascii="宋体" w:hAnsi="宋体" w:cs="宋体"/>
                <w:color w:val="000000"/>
                <w:kern w:val="0"/>
              </w:rPr>
              <w:t>1</w:t>
            </w:r>
            <w:r>
              <w:rPr>
                <w:rFonts w:hint="eastAsia" w:ascii="宋体" w:hAnsi="宋体" w:cs="宋体"/>
                <w:color w:val="000000"/>
                <w:kern w:val="0"/>
                <w:lang w:eastAsia="zh-CN"/>
              </w:rPr>
              <w:t>22</w:t>
            </w:r>
          </w:p>
        </w:tc>
        <w:tc>
          <w:tcPr>
            <w:tcW w:w="1275" w:type="dxa"/>
            <w:tcBorders>
              <w:top w:val="nil"/>
              <w:left w:val="nil"/>
              <w:bottom w:val="single" w:color="auto" w:sz="4" w:space="0"/>
              <w:right w:val="single" w:color="auto" w:sz="4" w:space="0"/>
            </w:tcBorders>
            <w:vAlign w:val="center"/>
          </w:tcPr>
          <w:p w14:paraId="015BC031">
            <w:pPr>
              <w:widowControl/>
              <w:jc w:val="center"/>
              <w:rPr>
                <w:rFonts w:hint="eastAsia" w:ascii="宋体" w:hAnsi="宋体" w:eastAsia="宋体" w:cs="宋体"/>
                <w:color w:val="000000"/>
                <w:kern w:val="0"/>
                <w:lang w:eastAsia="zh-CN"/>
              </w:rPr>
            </w:pPr>
            <w:r>
              <w:rPr>
                <w:rFonts w:hint="eastAsia" w:ascii="宋体" w:hAnsi="宋体" w:cs="宋体"/>
                <w:color w:val="000000"/>
                <w:kern w:val="0"/>
                <w:lang w:eastAsia="zh-CN"/>
              </w:rPr>
              <w:t>1505</w:t>
            </w:r>
          </w:p>
        </w:tc>
      </w:tr>
      <w:tr w14:paraId="1144683F">
        <w:tblPrEx>
          <w:tblCellMar>
            <w:top w:w="0" w:type="dxa"/>
            <w:left w:w="108" w:type="dxa"/>
            <w:bottom w:w="0" w:type="dxa"/>
            <w:right w:w="108" w:type="dxa"/>
          </w:tblCellMar>
        </w:tblPrEx>
        <w:trPr>
          <w:trHeight w:val="596" w:hRule="atLeast"/>
        </w:trPr>
        <w:tc>
          <w:tcPr>
            <w:tcW w:w="1541" w:type="dxa"/>
            <w:tcBorders>
              <w:top w:val="single" w:color="auto" w:sz="4" w:space="0"/>
              <w:left w:val="single" w:color="auto" w:sz="4" w:space="0"/>
              <w:bottom w:val="single" w:color="auto" w:sz="4" w:space="0"/>
              <w:right w:val="single" w:color="000000" w:sz="4" w:space="0"/>
            </w:tcBorders>
            <w:vAlign w:val="center"/>
          </w:tcPr>
          <w:p w14:paraId="29BB735C">
            <w:pPr>
              <w:widowControl/>
              <w:jc w:val="center"/>
              <w:rPr>
                <w:rFonts w:ascii="宋体" w:hAnsi="宋体" w:cs="宋体"/>
                <w:color w:val="000000"/>
                <w:kern w:val="0"/>
              </w:rPr>
            </w:pPr>
            <w:r>
              <w:rPr>
                <w:rFonts w:hint="eastAsia" w:ascii="宋体" w:hAnsi="宋体" w:cs="宋体"/>
                <w:color w:val="000000"/>
                <w:kern w:val="0"/>
              </w:rPr>
              <w:t>所占比例（%）</w:t>
            </w:r>
          </w:p>
        </w:tc>
        <w:tc>
          <w:tcPr>
            <w:tcW w:w="1465" w:type="dxa"/>
            <w:tcBorders>
              <w:top w:val="nil"/>
              <w:left w:val="nil"/>
              <w:bottom w:val="single" w:color="auto" w:sz="4" w:space="0"/>
              <w:right w:val="single" w:color="auto" w:sz="4" w:space="0"/>
            </w:tcBorders>
            <w:vAlign w:val="center"/>
          </w:tcPr>
          <w:p w14:paraId="7D4E150B">
            <w:pPr>
              <w:widowControl/>
              <w:jc w:val="center"/>
              <w:rPr>
                <w:rFonts w:hint="eastAsia" w:ascii="宋体" w:hAnsi="宋体" w:eastAsia="宋体" w:cs="宋体"/>
                <w:color w:val="000000"/>
                <w:kern w:val="0"/>
                <w:lang w:eastAsia="zh-CN"/>
              </w:rPr>
            </w:pPr>
            <w:r>
              <w:rPr>
                <w:rFonts w:hint="eastAsia" w:ascii="宋体" w:hAnsi="宋体" w:cs="宋体"/>
                <w:color w:val="000000"/>
                <w:kern w:val="0"/>
                <w:lang w:eastAsia="zh-CN"/>
              </w:rPr>
              <w:t>9.8</w:t>
            </w:r>
          </w:p>
        </w:tc>
        <w:tc>
          <w:tcPr>
            <w:tcW w:w="1559" w:type="dxa"/>
            <w:tcBorders>
              <w:top w:val="nil"/>
              <w:left w:val="nil"/>
              <w:bottom w:val="single" w:color="auto" w:sz="4" w:space="0"/>
              <w:right w:val="single" w:color="auto" w:sz="4" w:space="0"/>
            </w:tcBorders>
            <w:vAlign w:val="center"/>
          </w:tcPr>
          <w:p w14:paraId="7212A481">
            <w:pPr>
              <w:widowControl/>
              <w:jc w:val="center"/>
              <w:rPr>
                <w:rFonts w:hint="eastAsia" w:ascii="宋体" w:hAnsi="宋体" w:eastAsia="宋体" w:cs="宋体"/>
                <w:color w:val="000000"/>
                <w:kern w:val="0"/>
                <w:lang w:eastAsia="zh-CN"/>
              </w:rPr>
            </w:pPr>
            <w:r>
              <w:rPr>
                <w:rFonts w:ascii="宋体" w:hAnsi="宋体" w:cs="宋体"/>
                <w:color w:val="000000"/>
                <w:kern w:val="0"/>
              </w:rPr>
              <w:t>9.</w:t>
            </w:r>
            <w:r>
              <w:rPr>
                <w:rFonts w:hint="eastAsia" w:ascii="宋体" w:hAnsi="宋体" w:cs="宋体"/>
                <w:color w:val="000000"/>
                <w:kern w:val="0"/>
                <w:lang w:eastAsia="zh-CN"/>
              </w:rPr>
              <w:t>2</w:t>
            </w:r>
          </w:p>
        </w:tc>
        <w:tc>
          <w:tcPr>
            <w:tcW w:w="1701" w:type="dxa"/>
            <w:tcBorders>
              <w:top w:val="nil"/>
              <w:left w:val="nil"/>
              <w:bottom w:val="single" w:color="auto" w:sz="4" w:space="0"/>
              <w:right w:val="single" w:color="auto" w:sz="4" w:space="0"/>
            </w:tcBorders>
            <w:vAlign w:val="center"/>
          </w:tcPr>
          <w:p w14:paraId="49E0BD51">
            <w:pPr>
              <w:widowControl/>
              <w:jc w:val="center"/>
              <w:rPr>
                <w:rFonts w:hint="eastAsia" w:ascii="宋体" w:hAnsi="宋体" w:eastAsia="宋体" w:cs="宋体"/>
                <w:color w:val="000000"/>
                <w:kern w:val="0"/>
                <w:lang w:eastAsia="zh-CN"/>
              </w:rPr>
            </w:pPr>
            <w:r>
              <w:rPr>
                <w:rFonts w:hint="eastAsia" w:ascii="宋体" w:hAnsi="宋体" w:cs="宋体"/>
                <w:color w:val="000000"/>
                <w:kern w:val="0"/>
                <w:lang w:eastAsia="zh-CN"/>
              </w:rPr>
              <w:t>32.9</w:t>
            </w:r>
          </w:p>
        </w:tc>
        <w:tc>
          <w:tcPr>
            <w:tcW w:w="1276" w:type="dxa"/>
            <w:tcBorders>
              <w:top w:val="nil"/>
              <w:left w:val="nil"/>
              <w:bottom w:val="single" w:color="auto" w:sz="4" w:space="0"/>
              <w:right w:val="single" w:color="auto" w:sz="4" w:space="0"/>
            </w:tcBorders>
            <w:vAlign w:val="center"/>
          </w:tcPr>
          <w:p w14:paraId="6AFB28C4">
            <w:pPr>
              <w:widowControl/>
              <w:jc w:val="center"/>
              <w:rPr>
                <w:rFonts w:hint="eastAsia" w:ascii="宋体" w:hAnsi="宋体" w:eastAsia="宋体" w:cs="宋体"/>
                <w:color w:val="000000"/>
                <w:kern w:val="0"/>
                <w:lang w:eastAsia="zh-CN"/>
              </w:rPr>
            </w:pPr>
            <w:r>
              <w:rPr>
                <w:rFonts w:hint="eastAsia" w:ascii="宋体" w:hAnsi="宋体" w:cs="宋体"/>
                <w:color w:val="000000"/>
                <w:kern w:val="0"/>
                <w:lang w:eastAsia="zh-CN"/>
              </w:rPr>
              <w:t>4.6</w:t>
            </w:r>
          </w:p>
        </w:tc>
        <w:tc>
          <w:tcPr>
            <w:tcW w:w="1275" w:type="dxa"/>
            <w:tcBorders>
              <w:top w:val="nil"/>
              <w:left w:val="nil"/>
              <w:bottom w:val="single" w:color="auto" w:sz="4" w:space="0"/>
              <w:right w:val="single" w:color="auto" w:sz="4" w:space="0"/>
            </w:tcBorders>
            <w:vAlign w:val="center"/>
          </w:tcPr>
          <w:p w14:paraId="612845A8">
            <w:pPr>
              <w:widowControl/>
              <w:jc w:val="center"/>
              <w:rPr>
                <w:rFonts w:hint="eastAsia" w:ascii="宋体" w:hAnsi="宋体" w:eastAsia="宋体" w:cs="宋体"/>
                <w:color w:val="000000"/>
                <w:kern w:val="0"/>
                <w:lang w:eastAsia="zh-CN"/>
              </w:rPr>
            </w:pPr>
            <w:r>
              <w:rPr>
                <w:rFonts w:ascii="宋体" w:hAnsi="宋体" w:cs="宋体"/>
                <w:color w:val="000000"/>
                <w:kern w:val="0"/>
              </w:rPr>
              <w:t>5</w:t>
            </w:r>
            <w:r>
              <w:rPr>
                <w:rFonts w:hint="eastAsia" w:ascii="宋体" w:hAnsi="宋体" w:cs="宋体"/>
                <w:color w:val="000000"/>
                <w:kern w:val="0"/>
                <w:lang w:eastAsia="zh-CN"/>
              </w:rPr>
              <w:t>6.5</w:t>
            </w:r>
          </w:p>
        </w:tc>
      </w:tr>
      <w:tr w14:paraId="5B8B329F">
        <w:tblPrEx>
          <w:tblCellMar>
            <w:top w:w="0" w:type="dxa"/>
            <w:left w:w="108" w:type="dxa"/>
            <w:bottom w:w="0" w:type="dxa"/>
            <w:right w:w="108" w:type="dxa"/>
          </w:tblCellMar>
        </w:tblPrEx>
        <w:trPr>
          <w:trHeight w:val="476" w:hRule="atLeast"/>
        </w:trPr>
        <w:tc>
          <w:tcPr>
            <w:tcW w:w="1541" w:type="dxa"/>
            <w:tcBorders>
              <w:top w:val="single" w:color="auto" w:sz="4" w:space="0"/>
              <w:left w:val="single" w:color="auto" w:sz="4" w:space="0"/>
              <w:bottom w:val="single" w:color="auto" w:sz="4" w:space="0"/>
              <w:right w:val="single" w:color="000000" w:sz="4" w:space="0"/>
            </w:tcBorders>
            <w:vAlign w:val="center"/>
          </w:tcPr>
          <w:p w14:paraId="1AB1A9D9">
            <w:pPr>
              <w:widowControl/>
              <w:jc w:val="center"/>
              <w:rPr>
                <w:rFonts w:ascii="宋体" w:hAnsi="宋体" w:cs="宋体"/>
                <w:color w:val="000000"/>
                <w:kern w:val="0"/>
              </w:rPr>
            </w:pPr>
            <w:r>
              <w:rPr>
                <w:rFonts w:hint="eastAsia" w:ascii="宋体" w:hAnsi="宋体" w:cs="宋体"/>
                <w:color w:val="000000"/>
                <w:kern w:val="0"/>
              </w:rPr>
              <w:t>总学时数</w:t>
            </w:r>
          </w:p>
        </w:tc>
        <w:tc>
          <w:tcPr>
            <w:tcW w:w="1465" w:type="dxa"/>
            <w:tcBorders>
              <w:top w:val="nil"/>
              <w:left w:val="nil"/>
              <w:bottom w:val="single" w:color="auto" w:sz="4" w:space="0"/>
              <w:right w:val="single" w:color="auto" w:sz="4" w:space="0"/>
            </w:tcBorders>
            <w:vAlign w:val="center"/>
          </w:tcPr>
          <w:p w14:paraId="11979C1B">
            <w:pPr>
              <w:widowControl/>
              <w:jc w:val="center"/>
              <w:rPr>
                <w:rFonts w:hint="eastAsia" w:ascii="宋体" w:hAnsi="宋体" w:eastAsia="宋体" w:cs="宋体"/>
                <w:color w:val="000000"/>
                <w:kern w:val="0"/>
                <w:lang w:eastAsia="zh-CN"/>
              </w:rPr>
            </w:pPr>
            <w:r>
              <w:rPr>
                <w:rFonts w:ascii="宋体" w:hAnsi="宋体" w:cs="宋体"/>
                <w:color w:val="000000"/>
                <w:kern w:val="0"/>
              </w:rPr>
              <w:t>78</w:t>
            </w:r>
            <w:r>
              <w:rPr>
                <w:rFonts w:hint="eastAsia" w:ascii="宋体" w:hAnsi="宋体" w:cs="宋体"/>
                <w:color w:val="000000"/>
                <w:kern w:val="0"/>
                <w:lang w:eastAsia="zh-CN"/>
              </w:rPr>
              <w:t>8</w:t>
            </w:r>
          </w:p>
        </w:tc>
        <w:tc>
          <w:tcPr>
            <w:tcW w:w="1559" w:type="dxa"/>
            <w:tcBorders>
              <w:top w:val="nil"/>
              <w:left w:val="nil"/>
              <w:bottom w:val="single" w:color="auto" w:sz="4" w:space="0"/>
              <w:right w:val="single" w:color="auto" w:sz="4" w:space="0"/>
            </w:tcBorders>
            <w:vAlign w:val="center"/>
          </w:tcPr>
          <w:p w14:paraId="1D2268E1">
            <w:pPr>
              <w:widowControl/>
              <w:jc w:val="center"/>
              <w:rPr>
                <w:rFonts w:hint="eastAsia" w:ascii="宋体" w:hAnsi="宋体" w:eastAsia="宋体" w:cs="宋体"/>
                <w:color w:val="000000"/>
                <w:kern w:val="0"/>
                <w:lang w:eastAsia="zh-CN"/>
              </w:rPr>
            </w:pPr>
            <w:r>
              <w:rPr>
                <w:rFonts w:ascii="宋体" w:hAnsi="宋体" w:cs="宋体"/>
                <w:color w:val="000000"/>
                <w:kern w:val="0"/>
              </w:rPr>
              <w:t>5</w:t>
            </w:r>
            <w:r>
              <w:rPr>
                <w:rFonts w:hint="eastAsia" w:ascii="宋体" w:hAnsi="宋体" w:cs="宋体"/>
                <w:color w:val="000000"/>
                <w:kern w:val="0"/>
                <w:lang w:eastAsia="zh-CN"/>
              </w:rPr>
              <w:t>34</w:t>
            </w:r>
          </w:p>
        </w:tc>
        <w:tc>
          <w:tcPr>
            <w:tcW w:w="1701" w:type="dxa"/>
            <w:tcBorders>
              <w:top w:val="nil"/>
              <w:left w:val="nil"/>
              <w:bottom w:val="single" w:color="auto" w:sz="4" w:space="0"/>
              <w:right w:val="single" w:color="auto" w:sz="4" w:space="0"/>
            </w:tcBorders>
            <w:vAlign w:val="center"/>
          </w:tcPr>
          <w:p w14:paraId="60B3C07A">
            <w:pPr>
              <w:widowControl/>
              <w:jc w:val="center"/>
              <w:rPr>
                <w:rFonts w:hint="eastAsia" w:ascii="宋体" w:hAnsi="宋体" w:eastAsia="宋体" w:cs="宋体"/>
                <w:color w:val="000000"/>
                <w:kern w:val="0"/>
                <w:lang w:eastAsia="zh-CN"/>
              </w:rPr>
            </w:pPr>
            <w:r>
              <w:rPr>
                <w:rFonts w:hint="eastAsia" w:ascii="宋体" w:hAnsi="宋体" w:cs="宋体"/>
                <w:color w:val="000000"/>
                <w:kern w:val="0"/>
                <w:lang w:eastAsia="zh-CN"/>
              </w:rPr>
              <w:t>1104</w:t>
            </w:r>
          </w:p>
        </w:tc>
        <w:tc>
          <w:tcPr>
            <w:tcW w:w="1276" w:type="dxa"/>
            <w:tcBorders>
              <w:top w:val="nil"/>
              <w:left w:val="nil"/>
              <w:bottom w:val="single" w:color="auto" w:sz="4" w:space="0"/>
              <w:right w:val="single" w:color="auto" w:sz="4" w:space="0"/>
            </w:tcBorders>
            <w:vAlign w:val="center"/>
          </w:tcPr>
          <w:p w14:paraId="7F684060">
            <w:pPr>
              <w:widowControl/>
              <w:jc w:val="center"/>
              <w:rPr>
                <w:rFonts w:hint="eastAsia" w:ascii="宋体" w:hAnsi="宋体" w:eastAsia="宋体" w:cs="宋体"/>
                <w:color w:val="000000"/>
                <w:kern w:val="0"/>
                <w:lang w:eastAsia="zh-CN"/>
              </w:rPr>
            </w:pPr>
            <w:r>
              <w:rPr>
                <w:rFonts w:hint="eastAsia" w:ascii="宋体" w:hAnsi="宋体" w:cs="宋体"/>
                <w:color w:val="000000"/>
                <w:kern w:val="0"/>
                <w:lang w:eastAsia="zh-CN"/>
              </w:rPr>
              <w:t>256</w:t>
            </w:r>
          </w:p>
        </w:tc>
        <w:tc>
          <w:tcPr>
            <w:tcW w:w="1275" w:type="dxa"/>
            <w:tcBorders>
              <w:top w:val="nil"/>
              <w:left w:val="nil"/>
              <w:bottom w:val="single" w:color="auto" w:sz="4" w:space="0"/>
              <w:right w:val="single" w:color="auto" w:sz="4" w:space="0"/>
            </w:tcBorders>
            <w:vAlign w:val="center"/>
          </w:tcPr>
          <w:p w14:paraId="08430386">
            <w:pPr>
              <w:widowControl/>
              <w:jc w:val="center"/>
              <w:rPr>
                <w:rFonts w:hint="eastAsia" w:ascii="宋体" w:hAnsi="宋体" w:eastAsia="宋体" w:cs="宋体"/>
                <w:color w:val="000000"/>
                <w:kern w:val="0"/>
                <w:lang w:eastAsia="zh-CN"/>
              </w:rPr>
            </w:pPr>
            <w:r>
              <w:rPr>
                <w:rFonts w:hint="eastAsia" w:ascii="宋体" w:hAnsi="宋体" w:cs="宋体"/>
                <w:color w:val="000000"/>
                <w:kern w:val="0"/>
                <w:lang w:eastAsia="zh-CN"/>
              </w:rPr>
              <w:t>2664</w:t>
            </w:r>
          </w:p>
        </w:tc>
      </w:tr>
      <w:tr w14:paraId="001C5D98">
        <w:tblPrEx>
          <w:tblCellMar>
            <w:top w:w="0" w:type="dxa"/>
            <w:left w:w="108" w:type="dxa"/>
            <w:bottom w:w="0" w:type="dxa"/>
            <w:right w:w="108" w:type="dxa"/>
          </w:tblCellMar>
        </w:tblPrEx>
        <w:trPr>
          <w:trHeight w:val="618" w:hRule="atLeast"/>
        </w:trPr>
        <w:tc>
          <w:tcPr>
            <w:tcW w:w="1541" w:type="dxa"/>
            <w:tcBorders>
              <w:top w:val="single" w:color="auto" w:sz="4" w:space="0"/>
              <w:left w:val="single" w:color="auto" w:sz="4" w:space="0"/>
              <w:bottom w:val="single" w:color="auto" w:sz="4" w:space="0"/>
              <w:right w:val="single" w:color="auto" w:sz="4" w:space="0"/>
            </w:tcBorders>
            <w:vAlign w:val="center"/>
          </w:tcPr>
          <w:p w14:paraId="4EF8EEEE">
            <w:pPr>
              <w:widowControl/>
              <w:jc w:val="center"/>
              <w:rPr>
                <w:rFonts w:ascii="宋体" w:hAnsi="宋体" w:cs="宋体"/>
                <w:color w:val="000000"/>
                <w:kern w:val="0"/>
              </w:rPr>
            </w:pPr>
            <w:r>
              <w:rPr>
                <w:rFonts w:hint="eastAsia" w:ascii="宋体" w:hAnsi="宋体" w:cs="宋体"/>
                <w:color w:val="000000"/>
                <w:kern w:val="0"/>
              </w:rPr>
              <w:t>所占比例（%）</w:t>
            </w:r>
          </w:p>
        </w:tc>
        <w:tc>
          <w:tcPr>
            <w:tcW w:w="1465" w:type="dxa"/>
            <w:tcBorders>
              <w:top w:val="nil"/>
              <w:left w:val="nil"/>
              <w:bottom w:val="single" w:color="auto" w:sz="4" w:space="0"/>
              <w:right w:val="single" w:color="auto" w:sz="4" w:space="0"/>
            </w:tcBorders>
            <w:vAlign w:val="center"/>
          </w:tcPr>
          <w:p w14:paraId="606962F3">
            <w:pPr>
              <w:widowControl/>
              <w:jc w:val="center"/>
              <w:rPr>
                <w:rFonts w:hint="eastAsia" w:ascii="宋体" w:hAnsi="宋体" w:eastAsia="宋体" w:cs="宋体"/>
                <w:color w:val="000000"/>
                <w:kern w:val="0"/>
                <w:lang w:eastAsia="zh-CN"/>
              </w:rPr>
            </w:pPr>
            <w:r>
              <w:rPr>
                <w:rFonts w:hint="eastAsia" w:ascii="宋体" w:hAnsi="宋体" w:cs="宋体"/>
                <w:color w:val="000000"/>
                <w:kern w:val="0"/>
                <w:lang w:eastAsia="zh-CN"/>
              </w:rPr>
              <w:t>29.6</w:t>
            </w:r>
          </w:p>
        </w:tc>
        <w:tc>
          <w:tcPr>
            <w:tcW w:w="1559" w:type="dxa"/>
            <w:tcBorders>
              <w:top w:val="nil"/>
              <w:left w:val="nil"/>
              <w:bottom w:val="single" w:color="auto" w:sz="4" w:space="0"/>
              <w:right w:val="single" w:color="auto" w:sz="4" w:space="0"/>
            </w:tcBorders>
            <w:vAlign w:val="center"/>
          </w:tcPr>
          <w:p w14:paraId="3B10A46A">
            <w:pPr>
              <w:widowControl/>
              <w:jc w:val="center"/>
              <w:rPr>
                <w:rFonts w:hint="eastAsia" w:ascii="宋体" w:hAnsi="宋体" w:eastAsia="宋体" w:cs="宋体"/>
                <w:color w:val="000000"/>
                <w:kern w:val="0"/>
                <w:lang w:eastAsia="zh-CN"/>
              </w:rPr>
            </w:pPr>
            <w:r>
              <w:rPr>
                <w:rFonts w:hint="eastAsia" w:ascii="宋体" w:hAnsi="宋体" w:cs="宋体"/>
                <w:color w:val="000000"/>
                <w:kern w:val="0"/>
              </w:rPr>
              <w:t>2</w:t>
            </w:r>
            <w:r>
              <w:rPr>
                <w:rFonts w:hint="eastAsia" w:ascii="宋体" w:hAnsi="宋体" w:cs="宋体"/>
                <w:color w:val="000000"/>
                <w:kern w:val="0"/>
                <w:lang w:eastAsia="zh-CN"/>
              </w:rPr>
              <w:t>0</w:t>
            </w:r>
          </w:p>
        </w:tc>
        <w:tc>
          <w:tcPr>
            <w:tcW w:w="1701" w:type="dxa"/>
            <w:tcBorders>
              <w:top w:val="nil"/>
              <w:left w:val="nil"/>
              <w:bottom w:val="single" w:color="auto" w:sz="4" w:space="0"/>
              <w:right w:val="single" w:color="auto" w:sz="4" w:space="0"/>
            </w:tcBorders>
            <w:vAlign w:val="center"/>
          </w:tcPr>
          <w:p w14:paraId="110F8DF4">
            <w:pPr>
              <w:widowControl/>
              <w:jc w:val="center"/>
              <w:rPr>
                <w:rFonts w:hint="eastAsia" w:ascii="宋体" w:hAnsi="宋体" w:eastAsia="宋体" w:cs="宋体"/>
                <w:color w:val="000000"/>
                <w:kern w:val="0"/>
                <w:lang w:eastAsia="zh-CN"/>
              </w:rPr>
            </w:pPr>
            <w:r>
              <w:rPr>
                <w:rFonts w:hint="eastAsia" w:ascii="宋体" w:hAnsi="宋体" w:cs="宋体"/>
                <w:color w:val="000000"/>
                <w:kern w:val="0"/>
                <w:lang w:eastAsia="zh-CN"/>
              </w:rPr>
              <w:t>41.4</w:t>
            </w:r>
          </w:p>
        </w:tc>
        <w:tc>
          <w:tcPr>
            <w:tcW w:w="1276" w:type="dxa"/>
            <w:tcBorders>
              <w:top w:val="nil"/>
              <w:left w:val="nil"/>
              <w:bottom w:val="single" w:color="auto" w:sz="4" w:space="0"/>
              <w:right w:val="single" w:color="auto" w:sz="4" w:space="0"/>
            </w:tcBorders>
            <w:vAlign w:val="center"/>
          </w:tcPr>
          <w:p w14:paraId="1C3282A7">
            <w:pPr>
              <w:widowControl/>
              <w:jc w:val="center"/>
              <w:rPr>
                <w:rFonts w:hint="eastAsia" w:ascii="宋体" w:hAnsi="宋体" w:eastAsia="宋体" w:cs="宋体"/>
                <w:color w:val="000000"/>
                <w:kern w:val="0"/>
                <w:lang w:eastAsia="zh-CN"/>
              </w:rPr>
            </w:pPr>
            <w:r>
              <w:rPr>
                <w:rFonts w:hint="eastAsia" w:ascii="宋体" w:hAnsi="宋体" w:cs="宋体"/>
                <w:color w:val="000000"/>
                <w:kern w:val="0"/>
                <w:lang w:eastAsia="zh-CN"/>
              </w:rPr>
              <w:t>9.6</w:t>
            </w:r>
          </w:p>
        </w:tc>
        <w:tc>
          <w:tcPr>
            <w:tcW w:w="1275" w:type="dxa"/>
            <w:tcBorders>
              <w:top w:val="nil"/>
              <w:left w:val="nil"/>
              <w:bottom w:val="single" w:color="auto" w:sz="4" w:space="0"/>
              <w:right w:val="single" w:color="auto" w:sz="4" w:space="0"/>
            </w:tcBorders>
            <w:vAlign w:val="center"/>
          </w:tcPr>
          <w:p w14:paraId="41140893">
            <w:pPr>
              <w:widowControl/>
              <w:jc w:val="center"/>
              <w:rPr>
                <w:rFonts w:ascii="宋体" w:hAnsi="宋体" w:cs="宋体"/>
                <w:color w:val="000000"/>
                <w:kern w:val="0"/>
              </w:rPr>
            </w:pPr>
            <w:r>
              <w:rPr>
                <w:rFonts w:hint="eastAsia" w:ascii="宋体" w:hAnsi="宋体" w:cs="宋体"/>
                <w:color w:val="000000"/>
                <w:kern w:val="0"/>
              </w:rPr>
              <w:t>1</w:t>
            </w:r>
            <w:r>
              <w:rPr>
                <w:rFonts w:ascii="宋体" w:hAnsi="宋体" w:cs="宋体"/>
                <w:color w:val="000000"/>
                <w:kern w:val="0"/>
              </w:rPr>
              <w:t>00</w:t>
            </w:r>
          </w:p>
        </w:tc>
      </w:tr>
      <w:bookmarkEnd w:id="6"/>
    </w:tbl>
    <w:p w14:paraId="5A4F0DBB">
      <w:pPr>
        <w:numPr>
          <w:ilvl w:val="0"/>
          <w:numId w:val="2"/>
        </w:numPr>
        <w:spacing w:line="480" w:lineRule="exact"/>
        <w:ind w:firstLine="480" w:firstLineChars="200"/>
        <w:rPr>
          <w:rFonts w:hint="eastAsia" w:ascii="楷体" w:hAnsi="楷体" w:eastAsia="楷体"/>
          <w:sz w:val="24"/>
        </w:rPr>
      </w:pPr>
      <w:r>
        <w:rPr>
          <w:rFonts w:hint="eastAsia" w:ascii="楷体" w:hAnsi="楷体" w:eastAsia="楷体"/>
          <w:sz w:val="24"/>
        </w:rPr>
        <w:t>教学活动周进程安排表</w:t>
      </w:r>
    </w:p>
    <w:tbl>
      <w:tblPr>
        <w:tblStyle w:val="8"/>
        <w:tblpPr w:leftFromText="180" w:rightFromText="180" w:vertAnchor="text" w:horzAnchor="page" w:tblpX="1657" w:tblpY="107"/>
        <w:tblOverlap w:val="never"/>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1701"/>
        <w:gridCol w:w="1275"/>
        <w:gridCol w:w="1396"/>
        <w:gridCol w:w="1200"/>
        <w:gridCol w:w="832"/>
        <w:gridCol w:w="627"/>
      </w:tblGrid>
      <w:tr w14:paraId="333DCEFC">
        <w:tblPrEx>
          <w:tblCellMar>
            <w:top w:w="0" w:type="dxa"/>
            <w:left w:w="108" w:type="dxa"/>
            <w:bottom w:w="0" w:type="dxa"/>
            <w:right w:w="108" w:type="dxa"/>
          </w:tblCellMar>
        </w:tblPrEx>
        <w:tc>
          <w:tcPr>
            <w:tcW w:w="1860" w:type="dxa"/>
            <w:vAlign w:val="center"/>
          </w:tcPr>
          <w:p w14:paraId="094E8E49">
            <w:pPr>
              <w:spacing w:line="360" w:lineRule="auto"/>
              <w:jc w:val="center"/>
              <w:rPr>
                <w:rFonts w:ascii="宋体" w:hAnsi="宋体" w:cs="宋体"/>
                <w:color w:val="000000"/>
                <w:kern w:val="0"/>
                <w:sz w:val="21"/>
              </w:rPr>
            </w:pPr>
            <w:r>
              <w:rPr>
                <w:rFonts w:hint="eastAsia" w:ascii="宋体" w:hAnsi="宋体" w:cs="宋体"/>
                <w:color w:val="000000"/>
                <w:kern w:val="0"/>
                <w:sz w:val="21"/>
              </w:rPr>
              <w:t>学期</w:t>
            </w:r>
          </w:p>
        </w:tc>
        <w:tc>
          <w:tcPr>
            <w:tcW w:w="1701" w:type="dxa"/>
            <w:vAlign w:val="center"/>
          </w:tcPr>
          <w:p w14:paraId="35EEEA1D">
            <w:pPr>
              <w:spacing w:line="360" w:lineRule="auto"/>
              <w:jc w:val="center"/>
              <w:rPr>
                <w:rFonts w:ascii="宋体" w:hAnsi="宋体" w:cs="宋体"/>
                <w:color w:val="000000"/>
                <w:kern w:val="0"/>
                <w:sz w:val="21"/>
              </w:rPr>
            </w:pPr>
            <w:r>
              <w:rPr>
                <w:rFonts w:hint="eastAsia" w:ascii="宋体" w:hAnsi="宋体" w:cs="宋体"/>
                <w:color w:val="000000"/>
                <w:kern w:val="0"/>
                <w:sz w:val="21"/>
              </w:rPr>
              <w:t>理实一体教学</w:t>
            </w:r>
          </w:p>
        </w:tc>
        <w:tc>
          <w:tcPr>
            <w:tcW w:w="1275" w:type="dxa"/>
            <w:vAlign w:val="center"/>
          </w:tcPr>
          <w:p w14:paraId="6D5CE84A">
            <w:pPr>
              <w:spacing w:line="360" w:lineRule="auto"/>
              <w:jc w:val="center"/>
              <w:rPr>
                <w:rFonts w:ascii="宋体" w:hAnsi="宋体" w:cs="宋体"/>
                <w:color w:val="000000"/>
                <w:kern w:val="0"/>
                <w:sz w:val="21"/>
              </w:rPr>
            </w:pPr>
            <w:r>
              <w:rPr>
                <w:rFonts w:hint="eastAsia" w:ascii="宋体" w:hAnsi="宋体" w:cs="宋体"/>
                <w:color w:val="000000"/>
                <w:kern w:val="0"/>
                <w:sz w:val="21"/>
              </w:rPr>
              <w:t>岗位实习</w:t>
            </w:r>
          </w:p>
        </w:tc>
        <w:tc>
          <w:tcPr>
            <w:tcW w:w="1396" w:type="dxa"/>
            <w:vAlign w:val="center"/>
          </w:tcPr>
          <w:p w14:paraId="3DB32C60">
            <w:pPr>
              <w:spacing w:line="360" w:lineRule="auto"/>
              <w:jc w:val="center"/>
              <w:rPr>
                <w:rFonts w:ascii="宋体" w:hAnsi="宋体" w:cs="宋体"/>
                <w:color w:val="000000"/>
                <w:kern w:val="0"/>
                <w:sz w:val="21"/>
              </w:rPr>
            </w:pPr>
            <w:r>
              <w:rPr>
                <w:rFonts w:hint="eastAsia" w:ascii="宋体" w:hAnsi="宋体" w:cs="宋体"/>
                <w:color w:val="000000"/>
                <w:kern w:val="0"/>
                <w:sz w:val="21"/>
              </w:rPr>
              <w:t>入学教育及军事训练</w:t>
            </w:r>
          </w:p>
        </w:tc>
        <w:tc>
          <w:tcPr>
            <w:tcW w:w="1200" w:type="dxa"/>
            <w:vAlign w:val="center"/>
          </w:tcPr>
          <w:p w14:paraId="562A7321">
            <w:pPr>
              <w:spacing w:line="360" w:lineRule="auto"/>
              <w:jc w:val="center"/>
              <w:rPr>
                <w:rFonts w:ascii="宋体" w:hAnsi="宋体" w:cs="宋体"/>
                <w:color w:val="000000"/>
                <w:kern w:val="0"/>
                <w:sz w:val="21"/>
              </w:rPr>
            </w:pPr>
            <w:r>
              <w:rPr>
                <w:rFonts w:hint="eastAsia" w:ascii="宋体" w:hAnsi="宋体" w:cs="宋体"/>
                <w:color w:val="000000"/>
                <w:kern w:val="0"/>
                <w:sz w:val="21"/>
              </w:rPr>
              <w:t>考试</w:t>
            </w:r>
          </w:p>
        </w:tc>
        <w:tc>
          <w:tcPr>
            <w:tcW w:w="832" w:type="dxa"/>
            <w:vAlign w:val="center"/>
          </w:tcPr>
          <w:p w14:paraId="03A89BC7">
            <w:pPr>
              <w:spacing w:line="360" w:lineRule="auto"/>
              <w:jc w:val="center"/>
              <w:rPr>
                <w:rFonts w:ascii="宋体" w:hAnsi="宋体" w:cs="宋体"/>
                <w:color w:val="000000"/>
                <w:kern w:val="0"/>
                <w:sz w:val="21"/>
              </w:rPr>
            </w:pPr>
            <w:r>
              <w:rPr>
                <w:rFonts w:hint="eastAsia" w:ascii="宋体" w:hAnsi="宋体" w:cs="宋体"/>
                <w:color w:val="000000"/>
                <w:kern w:val="0"/>
                <w:sz w:val="21"/>
              </w:rPr>
              <w:t>机动</w:t>
            </w:r>
          </w:p>
        </w:tc>
        <w:tc>
          <w:tcPr>
            <w:tcW w:w="627" w:type="dxa"/>
            <w:vAlign w:val="center"/>
          </w:tcPr>
          <w:p w14:paraId="467FB91A">
            <w:pPr>
              <w:spacing w:line="360" w:lineRule="auto"/>
              <w:jc w:val="center"/>
              <w:rPr>
                <w:rFonts w:ascii="宋体" w:hAnsi="宋体" w:cs="宋体"/>
                <w:color w:val="000000"/>
                <w:kern w:val="0"/>
                <w:sz w:val="21"/>
              </w:rPr>
            </w:pPr>
            <w:r>
              <w:rPr>
                <w:rFonts w:hint="eastAsia" w:ascii="宋体" w:hAnsi="宋体" w:cs="宋体"/>
                <w:color w:val="000000"/>
                <w:kern w:val="0"/>
                <w:sz w:val="21"/>
              </w:rPr>
              <w:t>总周数</w:t>
            </w:r>
          </w:p>
        </w:tc>
      </w:tr>
      <w:tr w14:paraId="7983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vAlign w:val="center"/>
          </w:tcPr>
          <w:p w14:paraId="1FE6C90F">
            <w:pPr>
              <w:spacing w:line="360" w:lineRule="auto"/>
              <w:jc w:val="center"/>
              <w:rPr>
                <w:rFonts w:ascii="宋体" w:hAnsi="宋体" w:cs="宋体"/>
                <w:color w:val="000000"/>
                <w:kern w:val="0"/>
                <w:sz w:val="21"/>
              </w:rPr>
            </w:pPr>
            <w:r>
              <w:rPr>
                <w:rFonts w:hint="eastAsia" w:ascii="宋体" w:hAnsi="宋体" w:cs="宋体"/>
                <w:color w:val="000000"/>
                <w:kern w:val="0"/>
                <w:sz w:val="21"/>
              </w:rPr>
              <w:t>第一学期</w:t>
            </w:r>
          </w:p>
        </w:tc>
        <w:tc>
          <w:tcPr>
            <w:tcW w:w="1701" w:type="dxa"/>
            <w:vAlign w:val="center"/>
          </w:tcPr>
          <w:p w14:paraId="758B692E">
            <w:pPr>
              <w:spacing w:line="360" w:lineRule="auto"/>
              <w:jc w:val="center"/>
              <w:rPr>
                <w:rFonts w:ascii="宋体" w:hAnsi="宋体" w:cs="宋体"/>
                <w:color w:val="000000"/>
                <w:kern w:val="0"/>
                <w:sz w:val="21"/>
              </w:rPr>
            </w:pPr>
            <w:r>
              <w:rPr>
                <w:rFonts w:hint="eastAsia" w:ascii="宋体" w:hAnsi="宋体" w:cs="宋体"/>
                <w:color w:val="000000"/>
                <w:kern w:val="0"/>
                <w:sz w:val="21"/>
              </w:rPr>
              <w:t>1</w:t>
            </w:r>
            <w:r>
              <w:rPr>
                <w:rFonts w:ascii="宋体" w:hAnsi="宋体" w:cs="宋体"/>
                <w:color w:val="000000"/>
                <w:kern w:val="0"/>
                <w:sz w:val="21"/>
              </w:rPr>
              <w:t>6</w:t>
            </w:r>
          </w:p>
        </w:tc>
        <w:tc>
          <w:tcPr>
            <w:tcW w:w="1275" w:type="dxa"/>
            <w:vAlign w:val="center"/>
          </w:tcPr>
          <w:p w14:paraId="6E3FDB45">
            <w:pPr>
              <w:spacing w:line="360" w:lineRule="auto"/>
              <w:jc w:val="center"/>
              <w:rPr>
                <w:rFonts w:ascii="宋体" w:hAnsi="宋体" w:cs="宋体"/>
                <w:color w:val="000000"/>
                <w:kern w:val="0"/>
                <w:sz w:val="21"/>
              </w:rPr>
            </w:pPr>
          </w:p>
        </w:tc>
        <w:tc>
          <w:tcPr>
            <w:tcW w:w="1396" w:type="dxa"/>
            <w:vAlign w:val="center"/>
          </w:tcPr>
          <w:p w14:paraId="372F575D">
            <w:pPr>
              <w:spacing w:line="360" w:lineRule="auto"/>
              <w:jc w:val="center"/>
              <w:rPr>
                <w:rFonts w:ascii="宋体" w:hAnsi="宋体" w:cs="宋体"/>
                <w:color w:val="000000"/>
                <w:kern w:val="0"/>
                <w:sz w:val="21"/>
              </w:rPr>
            </w:pPr>
            <w:r>
              <w:rPr>
                <w:rFonts w:hint="eastAsia" w:ascii="宋体" w:hAnsi="宋体" w:cs="宋体"/>
                <w:color w:val="000000"/>
                <w:kern w:val="0"/>
                <w:sz w:val="21"/>
              </w:rPr>
              <w:t>2</w:t>
            </w:r>
          </w:p>
        </w:tc>
        <w:tc>
          <w:tcPr>
            <w:tcW w:w="1200" w:type="dxa"/>
            <w:vAlign w:val="center"/>
          </w:tcPr>
          <w:p w14:paraId="3998DE9F">
            <w:pPr>
              <w:spacing w:line="360" w:lineRule="auto"/>
              <w:jc w:val="center"/>
              <w:rPr>
                <w:rFonts w:ascii="宋体" w:hAnsi="宋体" w:cs="宋体"/>
                <w:color w:val="000000"/>
                <w:kern w:val="0"/>
                <w:sz w:val="21"/>
              </w:rPr>
            </w:pPr>
            <w:r>
              <w:rPr>
                <w:rFonts w:hint="eastAsia" w:ascii="宋体" w:hAnsi="宋体" w:cs="宋体"/>
                <w:color w:val="000000"/>
                <w:kern w:val="0"/>
                <w:sz w:val="21"/>
              </w:rPr>
              <w:t>1</w:t>
            </w:r>
          </w:p>
        </w:tc>
        <w:tc>
          <w:tcPr>
            <w:tcW w:w="832" w:type="dxa"/>
            <w:vAlign w:val="center"/>
          </w:tcPr>
          <w:p w14:paraId="0F760A38">
            <w:pPr>
              <w:spacing w:line="360" w:lineRule="auto"/>
              <w:jc w:val="center"/>
              <w:rPr>
                <w:rFonts w:ascii="宋体" w:hAnsi="宋体" w:cs="宋体"/>
                <w:color w:val="000000"/>
                <w:kern w:val="0"/>
                <w:sz w:val="21"/>
              </w:rPr>
            </w:pPr>
            <w:r>
              <w:rPr>
                <w:rFonts w:hint="eastAsia" w:ascii="宋体" w:hAnsi="宋体" w:cs="宋体"/>
                <w:color w:val="000000"/>
                <w:kern w:val="0"/>
                <w:sz w:val="21"/>
              </w:rPr>
              <w:t>1</w:t>
            </w:r>
          </w:p>
        </w:tc>
        <w:tc>
          <w:tcPr>
            <w:tcW w:w="627" w:type="dxa"/>
            <w:vAlign w:val="center"/>
          </w:tcPr>
          <w:p w14:paraId="3785B162">
            <w:pPr>
              <w:spacing w:line="360" w:lineRule="auto"/>
              <w:jc w:val="center"/>
              <w:rPr>
                <w:rFonts w:ascii="宋体" w:hAnsi="宋体" w:cs="宋体"/>
                <w:color w:val="000000"/>
                <w:kern w:val="0"/>
                <w:sz w:val="21"/>
              </w:rPr>
            </w:pPr>
            <w:r>
              <w:rPr>
                <w:rFonts w:hint="eastAsia" w:ascii="宋体" w:hAnsi="宋体" w:cs="宋体"/>
                <w:color w:val="000000"/>
                <w:kern w:val="0"/>
                <w:sz w:val="21"/>
              </w:rPr>
              <w:t>2</w:t>
            </w:r>
            <w:r>
              <w:rPr>
                <w:rFonts w:ascii="宋体" w:hAnsi="宋体" w:cs="宋体"/>
                <w:color w:val="000000"/>
                <w:kern w:val="0"/>
                <w:sz w:val="21"/>
              </w:rPr>
              <w:t>0</w:t>
            </w:r>
          </w:p>
        </w:tc>
      </w:tr>
      <w:tr w14:paraId="60C2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vAlign w:val="center"/>
          </w:tcPr>
          <w:p w14:paraId="7FFE7131">
            <w:pPr>
              <w:spacing w:line="360" w:lineRule="auto"/>
              <w:jc w:val="center"/>
              <w:rPr>
                <w:rFonts w:ascii="宋体" w:hAnsi="宋体" w:cs="宋体"/>
                <w:color w:val="000000"/>
                <w:kern w:val="0"/>
                <w:sz w:val="21"/>
              </w:rPr>
            </w:pPr>
            <w:r>
              <w:rPr>
                <w:rFonts w:hint="eastAsia" w:ascii="宋体" w:hAnsi="宋体" w:cs="宋体"/>
                <w:color w:val="000000"/>
                <w:kern w:val="0"/>
                <w:sz w:val="21"/>
              </w:rPr>
              <w:t>第二学期</w:t>
            </w:r>
          </w:p>
        </w:tc>
        <w:tc>
          <w:tcPr>
            <w:tcW w:w="1701" w:type="dxa"/>
            <w:vAlign w:val="center"/>
          </w:tcPr>
          <w:p w14:paraId="667DFA49">
            <w:pPr>
              <w:spacing w:line="360" w:lineRule="auto"/>
              <w:jc w:val="center"/>
              <w:rPr>
                <w:rFonts w:ascii="宋体" w:hAnsi="宋体" w:cs="宋体"/>
                <w:color w:val="000000"/>
                <w:kern w:val="0"/>
                <w:sz w:val="21"/>
              </w:rPr>
            </w:pPr>
            <w:r>
              <w:rPr>
                <w:rFonts w:hint="eastAsia" w:ascii="宋体" w:hAnsi="宋体" w:cs="宋体"/>
                <w:color w:val="000000"/>
                <w:kern w:val="0"/>
                <w:sz w:val="21"/>
              </w:rPr>
              <w:t>1</w:t>
            </w:r>
            <w:r>
              <w:rPr>
                <w:rFonts w:ascii="宋体" w:hAnsi="宋体" w:cs="宋体"/>
                <w:color w:val="000000"/>
                <w:kern w:val="0"/>
                <w:sz w:val="21"/>
              </w:rPr>
              <w:t>8</w:t>
            </w:r>
          </w:p>
        </w:tc>
        <w:tc>
          <w:tcPr>
            <w:tcW w:w="1275" w:type="dxa"/>
            <w:vAlign w:val="center"/>
          </w:tcPr>
          <w:p w14:paraId="467673DE">
            <w:pPr>
              <w:spacing w:line="360" w:lineRule="auto"/>
              <w:jc w:val="center"/>
              <w:rPr>
                <w:rFonts w:ascii="宋体" w:hAnsi="宋体" w:cs="宋体"/>
                <w:color w:val="000000"/>
                <w:kern w:val="0"/>
                <w:sz w:val="21"/>
              </w:rPr>
            </w:pPr>
          </w:p>
        </w:tc>
        <w:tc>
          <w:tcPr>
            <w:tcW w:w="1396" w:type="dxa"/>
            <w:vAlign w:val="center"/>
          </w:tcPr>
          <w:p w14:paraId="6B9993D2">
            <w:pPr>
              <w:spacing w:line="360" w:lineRule="auto"/>
              <w:jc w:val="center"/>
              <w:rPr>
                <w:rFonts w:ascii="宋体" w:hAnsi="宋体" w:cs="宋体"/>
                <w:color w:val="000000"/>
                <w:kern w:val="0"/>
                <w:sz w:val="21"/>
              </w:rPr>
            </w:pPr>
          </w:p>
        </w:tc>
        <w:tc>
          <w:tcPr>
            <w:tcW w:w="1200" w:type="dxa"/>
            <w:vAlign w:val="center"/>
          </w:tcPr>
          <w:p w14:paraId="5DD5824D">
            <w:pPr>
              <w:spacing w:line="360" w:lineRule="auto"/>
              <w:jc w:val="center"/>
              <w:rPr>
                <w:rFonts w:ascii="宋体" w:hAnsi="宋体" w:cs="宋体"/>
                <w:color w:val="000000"/>
                <w:kern w:val="0"/>
                <w:sz w:val="21"/>
              </w:rPr>
            </w:pPr>
            <w:r>
              <w:rPr>
                <w:rFonts w:hint="eastAsia" w:ascii="宋体" w:hAnsi="宋体" w:cs="宋体"/>
                <w:color w:val="000000"/>
                <w:kern w:val="0"/>
                <w:sz w:val="21"/>
              </w:rPr>
              <w:t>1</w:t>
            </w:r>
          </w:p>
        </w:tc>
        <w:tc>
          <w:tcPr>
            <w:tcW w:w="832" w:type="dxa"/>
            <w:vAlign w:val="center"/>
          </w:tcPr>
          <w:p w14:paraId="48D712A1">
            <w:pPr>
              <w:spacing w:line="360" w:lineRule="auto"/>
              <w:jc w:val="center"/>
              <w:rPr>
                <w:rFonts w:ascii="宋体" w:hAnsi="宋体" w:cs="宋体"/>
                <w:color w:val="000000"/>
                <w:kern w:val="0"/>
                <w:sz w:val="21"/>
              </w:rPr>
            </w:pPr>
            <w:r>
              <w:rPr>
                <w:rFonts w:hint="eastAsia" w:ascii="宋体" w:hAnsi="宋体" w:cs="宋体"/>
                <w:color w:val="000000"/>
                <w:kern w:val="0"/>
                <w:sz w:val="21"/>
              </w:rPr>
              <w:t>1</w:t>
            </w:r>
          </w:p>
        </w:tc>
        <w:tc>
          <w:tcPr>
            <w:tcW w:w="627" w:type="dxa"/>
            <w:vAlign w:val="center"/>
          </w:tcPr>
          <w:p w14:paraId="735222CB">
            <w:pPr>
              <w:spacing w:line="360" w:lineRule="auto"/>
              <w:jc w:val="center"/>
              <w:rPr>
                <w:rFonts w:ascii="宋体" w:hAnsi="宋体" w:cs="宋体"/>
                <w:color w:val="000000"/>
                <w:kern w:val="0"/>
                <w:sz w:val="21"/>
              </w:rPr>
            </w:pPr>
            <w:r>
              <w:rPr>
                <w:rFonts w:hint="eastAsia" w:ascii="宋体" w:hAnsi="宋体" w:cs="宋体"/>
                <w:color w:val="000000"/>
                <w:kern w:val="0"/>
                <w:sz w:val="21"/>
              </w:rPr>
              <w:t>2</w:t>
            </w:r>
            <w:r>
              <w:rPr>
                <w:rFonts w:ascii="宋体" w:hAnsi="宋体" w:cs="宋体"/>
                <w:color w:val="000000"/>
                <w:kern w:val="0"/>
                <w:sz w:val="21"/>
              </w:rPr>
              <w:t>0</w:t>
            </w:r>
          </w:p>
        </w:tc>
      </w:tr>
      <w:tr w14:paraId="3552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vAlign w:val="center"/>
          </w:tcPr>
          <w:p w14:paraId="2BFC18F8">
            <w:pPr>
              <w:spacing w:line="360" w:lineRule="auto"/>
              <w:jc w:val="center"/>
              <w:rPr>
                <w:rFonts w:ascii="宋体" w:hAnsi="宋体" w:cs="宋体"/>
                <w:color w:val="000000"/>
                <w:kern w:val="0"/>
                <w:sz w:val="21"/>
              </w:rPr>
            </w:pPr>
            <w:r>
              <w:rPr>
                <w:rFonts w:hint="eastAsia" w:ascii="宋体" w:hAnsi="宋体" w:cs="宋体"/>
                <w:color w:val="000000"/>
                <w:kern w:val="0"/>
                <w:sz w:val="21"/>
              </w:rPr>
              <w:t>第三学期</w:t>
            </w:r>
          </w:p>
        </w:tc>
        <w:tc>
          <w:tcPr>
            <w:tcW w:w="1701" w:type="dxa"/>
            <w:vAlign w:val="center"/>
          </w:tcPr>
          <w:p w14:paraId="2506CB38">
            <w:pPr>
              <w:spacing w:line="360" w:lineRule="auto"/>
              <w:jc w:val="center"/>
              <w:rPr>
                <w:rFonts w:ascii="宋体" w:hAnsi="宋体" w:cs="宋体"/>
                <w:color w:val="000000"/>
                <w:kern w:val="0"/>
                <w:sz w:val="21"/>
              </w:rPr>
            </w:pPr>
            <w:r>
              <w:rPr>
                <w:rFonts w:hint="eastAsia" w:ascii="宋体" w:hAnsi="宋体" w:cs="宋体"/>
                <w:color w:val="000000"/>
                <w:kern w:val="0"/>
                <w:sz w:val="21"/>
              </w:rPr>
              <w:t>1</w:t>
            </w:r>
            <w:r>
              <w:rPr>
                <w:rFonts w:ascii="宋体" w:hAnsi="宋体" w:cs="宋体"/>
                <w:color w:val="000000"/>
                <w:kern w:val="0"/>
                <w:sz w:val="21"/>
              </w:rPr>
              <w:t>8</w:t>
            </w:r>
          </w:p>
        </w:tc>
        <w:tc>
          <w:tcPr>
            <w:tcW w:w="1275" w:type="dxa"/>
            <w:vAlign w:val="center"/>
          </w:tcPr>
          <w:p w14:paraId="7A694742">
            <w:pPr>
              <w:spacing w:line="360" w:lineRule="auto"/>
              <w:jc w:val="center"/>
              <w:rPr>
                <w:rFonts w:ascii="宋体" w:hAnsi="宋体" w:cs="宋体"/>
                <w:color w:val="000000"/>
                <w:kern w:val="0"/>
                <w:sz w:val="21"/>
              </w:rPr>
            </w:pPr>
          </w:p>
        </w:tc>
        <w:tc>
          <w:tcPr>
            <w:tcW w:w="1396" w:type="dxa"/>
            <w:vAlign w:val="center"/>
          </w:tcPr>
          <w:p w14:paraId="333FA098">
            <w:pPr>
              <w:spacing w:line="360" w:lineRule="auto"/>
              <w:jc w:val="center"/>
              <w:rPr>
                <w:rFonts w:ascii="宋体" w:hAnsi="宋体" w:cs="宋体"/>
                <w:color w:val="000000"/>
                <w:kern w:val="0"/>
                <w:sz w:val="21"/>
              </w:rPr>
            </w:pPr>
          </w:p>
        </w:tc>
        <w:tc>
          <w:tcPr>
            <w:tcW w:w="1200" w:type="dxa"/>
            <w:vAlign w:val="center"/>
          </w:tcPr>
          <w:p w14:paraId="77A78220">
            <w:pPr>
              <w:spacing w:line="360" w:lineRule="auto"/>
              <w:jc w:val="center"/>
              <w:rPr>
                <w:rFonts w:ascii="宋体" w:hAnsi="宋体" w:cs="宋体"/>
                <w:color w:val="000000"/>
                <w:kern w:val="0"/>
                <w:sz w:val="21"/>
              </w:rPr>
            </w:pPr>
            <w:r>
              <w:rPr>
                <w:rFonts w:hint="eastAsia" w:ascii="宋体" w:hAnsi="宋体" w:cs="宋体"/>
                <w:color w:val="000000"/>
                <w:kern w:val="0"/>
                <w:sz w:val="21"/>
              </w:rPr>
              <w:t>1</w:t>
            </w:r>
          </w:p>
        </w:tc>
        <w:tc>
          <w:tcPr>
            <w:tcW w:w="832" w:type="dxa"/>
            <w:vAlign w:val="center"/>
          </w:tcPr>
          <w:p w14:paraId="3C89D11F">
            <w:pPr>
              <w:spacing w:line="360" w:lineRule="auto"/>
              <w:jc w:val="center"/>
              <w:rPr>
                <w:rFonts w:ascii="宋体" w:hAnsi="宋体" w:cs="宋体"/>
                <w:color w:val="000000"/>
                <w:kern w:val="0"/>
                <w:sz w:val="21"/>
              </w:rPr>
            </w:pPr>
            <w:r>
              <w:rPr>
                <w:rFonts w:hint="eastAsia" w:ascii="宋体" w:hAnsi="宋体" w:cs="宋体"/>
                <w:color w:val="000000"/>
                <w:kern w:val="0"/>
                <w:sz w:val="21"/>
              </w:rPr>
              <w:t>1</w:t>
            </w:r>
          </w:p>
        </w:tc>
        <w:tc>
          <w:tcPr>
            <w:tcW w:w="627" w:type="dxa"/>
            <w:vAlign w:val="center"/>
          </w:tcPr>
          <w:p w14:paraId="6094BD3E">
            <w:pPr>
              <w:spacing w:line="360" w:lineRule="auto"/>
              <w:jc w:val="center"/>
              <w:rPr>
                <w:rFonts w:ascii="宋体" w:hAnsi="宋体" w:cs="宋体"/>
                <w:color w:val="000000"/>
                <w:kern w:val="0"/>
                <w:sz w:val="21"/>
              </w:rPr>
            </w:pPr>
            <w:r>
              <w:rPr>
                <w:rFonts w:hint="eastAsia" w:ascii="宋体" w:hAnsi="宋体" w:cs="宋体"/>
                <w:color w:val="000000"/>
                <w:kern w:val="0"/>
                <w:sz w:val="21"/>
              </w:rPr>
              <w:t>2</w:t>
            </w:r>
            <w:r>
              <w:rPr>
                <w:rFonts w:ascii="宋体" w:hAnsi="宋体" w:cs="宋体"/>
                <w:color w:val="000000"/>
                <w:kern w:val="0"/>
                <w:sz w:val="21"/>
              </w:rPr>
              <w:t>0</w:t>
            </w:r>
          </w:p>
        </w:tc>
      </w:tr>
      <w:tr w14:paraId="6C6D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vAlign w:val="center"/>
          </w:tcPr>
          <w:p w14:paraId="518F442B">
            <w:pPr>
              <w:spacing w:line="360" w:lineRule="auto"/>
              <w:jc w:val="center"/>
              <w:rPr>
                <w:rFonts w:ascii="宋体" w:hAnsi="宋体" w:cs="宋体"/>
                <w:color w:val="000000"/>
                <w:kern w:val="0"/>
                <w:sz w:val="21"/>
              </w:rPr>
            </w:pPr>
            <w:r>
              <w:rPr>
                <w:rFonts w:hint="eastAsia" w:ascii="宋体" w:hAnsi="宋体" w:cs="宋体"/>
                <w:color w:val="000000"/>
                <w:kern w:val="0"/>
                <w:sz w:val="21"/>
              </w:rPr>
              <w:t>第四学期</w:t>
            </w:r>
          </w:p>
        </w:tc>
        <w:tc>
          <w:tcPr>
            <w:tcW w:w="1701" w:type="dxa"/>
            <w:vAlign w:val="center"/>
          </w:tcPr>
          <w:p w14:paraId="465F0C74">
            <w:pPr>
              <w:spacing w:line="360" w:lineRule="auto"/>
              <w:jc w:val="center"/>
              <w:rPr>
                <w:rFonts w:ascii="宋体" w:hAnsi="宋体" w:cs="宋体"/>
                <w:color w:val="000000"/>
                <w:kern w:val="0"/>
                <w:sz w:val="21"/>
              </w:rPr>
            </w:pPr>
            <w:r>
              <w:rPr>
                <w:rFonts w:hint="eastAsia" w:ascii="宋体" w:hAnsi="宋体" w:cs="宋体"/>
                <w:color w:val="000000"/>
                <w:kern w:val="0"/>
                <w:sz w:val="21"/>
              </w:rPr>
              <w:t>1</w:t>
            </w:r>
            <w:r>
              <w:rPr>
                <w:rFonts w:ascii="宋体" w:hAnsi="宋体" w:cs="宋体"/>
                <w:color w:val="000000"/>
                <w:kern w:val="0"/>
                <w:sz w:val="21"/>
              </w:rPr>
              <w:t>8</w:t>
            </w:r>
          </w:p>
        </w:tc>
        <w:tc>
          <w:tcPr>
            <w:tcW w:w="1275" w:type="dxa"/>
            <w:vAlign w:val="center"/>
          </w:tcPr>
          <w:p w14:paraId="64515942">
            <w:pPr>
              <w:spacing w:line="360" w:lineRule="auto"/>
              <w:jc w:val="center"/>
              <w:rPr>
                <w:rFonts w:ascii="宋体" w:hAnsi="宋体" w:cs="宋体"/>
                <w:color w:val="000000"/>
                <w:kern w:val="0"/>
                <w:sz w:val="21"/>
              </w:rPr>
            </w:pPr>
          </w:p>
        </w:tc>
        <w:tc>
          <w:tcPr>
            <w:tcW w:w="1396" w:type="dxa"/>
            <w:vAlign w:val="center"/>
          </w:tcPr>
          <w:p w14:paraId="74586A22">
            <w:pPr>
              <w:spacing w:line="360" w:lineRule="auto"/>
              <w:jc w:val="center"/>
              <w:rPr>
                <w:rFonts w:ascii="宋体" w:hAnsi="宋体" w:cs="宋体"/>
                <w:color w:val="000000"/>
                <w:kern w:val="0"/>
                <w:sz w:val="21"/>
              </w:rPr>
            </w:pPr>
          </w:p>
        </w:tc>
        <w:tc>
          <w:tcPr>
            <w:tcW w:w="1200" w:type="dxa"/>
            <w:vAlign w:val="center"/>
          </w:tcPr>
          <w:p w14:paraId="46224FB1">
            <w:pPr>
              <w:spacing w:line="360" w:lineRule="auto"/>
              <w:jc w:val="center"/>
              <w:rPr>
                <w:rFonts w:ascii="宋体" w:hAnsi="宋体" w:cs="宋体"/>
                <w:color w:val="000000"/>
                <w:kern w:val="0"/>
                <w:sz w:val="21"/>
              </w:rPr>
            </w:pPr>
            <w:r>
              <w:rPr>
                <w:rFonts w:hint="eastAsia" w:ascii="宋体" w:hAnsi="宋体" w:cs="宋体"/>
                <w:color w:val="000000"/>
                <w:kern w:val="0"/>
                <w:sz w:val="21"/>
              </w:rPr>
              <w:t>1</w:t>
            </w:r>
          </w:p>
        </w:tc>
        <w:tc>
          <w:tcPr>
            <w:tcW w:w="832" w:type="dxa"/>
            <w:vAlign w:val="center"/>
          </w:tcPr>
          <w:p w14:paraId="73C3B370">
            <w:pPr>
              <w:spacing w:line="360" w:lineRule="auto"/>
              <w:jc w:val="center"/>
              <w:rPr>
                <w:rFonts w:ascii="宋体" w:hAnsi="宋体" w:cs="宋体"/>
                <w:color w:val="000000"/>
                <w:kern w:val="0"/>
                <w:sz w:val="21"/>
              </w:rPr>
            </w:pPr>
            <w:r>
              <w:rPr>
                <w:rFonts w:hint="eastAsia" w:ascii="宋体" w:hAnsi="宋体" w:cs="宋体"/>
                <w:color w:val="000000"/>
                <w:kern w:val="0"/>
                <w:sz w:val="21"/>
              </w:rPr>
              <w:t>1</w:t>
            </w:r>
          </w:p>
        </w:tc>
        <w:tc>
          <w:tcPr>
            <w:tcW w:w="627" w:type="dxa"/>
            <w:vAlign w:val="center"/>
          </w:tcPr>
          <w:p w14:paraId="3183C80D">
            <w:pPr>
              <w:spacing w:line="360" w:lineRule="auto"/>
              <w:jc w:val="center"/>
              <w:rPr>
                <w:rFonts w:ascii="宋体" w:hAnsi="宋体" w:cs="宋体"/>
                <w:color w:val="000000"/>
                <w:kern w:val="0"/>
                <w:sz w:val="21"/>
              </w:rPr>
            </w:pPr>
            <w:r>
              <w:rPr>
                <w:rFonts w:hint="eastAsia" w:ascii="宋体" w:hAnsi="宋体" w:cs="宋体"/>
                <w:color w:val="000000"/>
                <w:kern w:val="0"/>
                <w:sz w:val="21"/>
              </w:rPr>
              <w:t>2</w:t>
            </w:r>
            <w:r>
              <w:rPr>
                <w:rFonts w:ascii="宋体" w:hAnsi="宋体" w:cs="宋体"/>
                <w:color w:val="000000"/>
                <w:kern w:val="0"/>
                <w:sz w:val="21"/>
              </w:rPr>
              <w:t>0</w:t>
            </w:r>
          </w:p>
        </w:tc>
      </w:tr>
      <w:tr w14:paraId="1BDC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vAlign w:val="center"/>
          </w:tcPr>
          <w:p w14:paraId="719D594C">
            <w:pPr>
              <w:spacing w:line="360" w:lineRule="auto"/>
              <w:jc w:val="center"/>
              <w:rPr>
                <w:rFonts w:ascii="宋体" w:hAnsi="宋体" w:cs="宋体"/>
                <w:color w:val="000000"/>
                <w:kern w:val="0"/>
                <w:sz w:val="21"/>
              </w:rPr>
            </w:pPr>
            <w:r>
              <w:rPr>
                <w:rFonts w:hint="eastAsia" w:ascii="宋体" w:hAnsi="宋体" w:cs="宋体"/>
                <w:color w:val="000000"/>
                <w:kern w:val="0"/>
                <w:sz w:val="21"/>
              </w:rPr>
              <w:t>第五学期</w:t>
            </w:r>
          </w:p>
        </w:tc>
        <w:tc>
          <w:tcPr>
            <w:tcW w:w="1701" w:type="dxa"/>
            <w:vAlign w:val="center"/>
          </w:tcPr>
          <w:p w14:paraId="3E0B1123">
            <w:pPr>
              <w:spacing w:line="360" w:lineRule="auto"/>
              <w:jc w:val="center"/>
              <w:rPr>
                <w:rFonts w:ascii="宋体" w:hAnsi="宋体" w:cs="宋体"/>
                <w:color w:val="000000"/>
                <w:kern w:val="0"/>
                <w:sz w:val="21"/>
              </w:rPr>
            </w:pPr>
            <w:r>
              <w:rPr>
                <w:rFonts w:hint="eastAsia" w:ascii="宋体" w:hAnsi="宋体" w:cs="宋体"/>
                <w:color w:val="000000"/>
                <w:kern w:val="0"/>
                <w:sz w:val="21"/>
              </w:rPr>
              <w:t>0</w:t>
            </w:r>
          </w:p>
        </w:tc>
        <w:tc>
          <w:tcPr>
            <w:tcW w:w="1275" w:type="dxa"/>
            <w:vAlign w:val="center"/>
          </w:tcPr>
          <w:p w14:paraId="426224E2">
            <w:pPr>
              <w:spacing w:line="360" w:lineRule="auto"/>
              <w:jc w:val="center"/>
              <w:rPr>
                <w:rFonts w:ascii="宋体" w:hAnsi="宋体" w:cs="宋体"/>
                <w:color w:val="000000"/>
                <w:kern w:val="0"/>
                <w:sz w:val="21"/>
              </w:rPr>
            </w:pPr>
            <w:r>
              <w:rPr>
                <w:rFonts w:hint="eastAsia" w:ascii="宋体" w:hAnsi="宋体" w:cs="宋体"/>
                <w:color w:val="000000"/>
                <w:kern w:val="0"/>
                <w:sz w:val="21"/>
              </w:rPr>
              <w:t>2</w:t>
            </w:r>
            <w:r>
              <w:rPr>
                <w:rFonts w:ascii="宋体" w:hAnsi="宋体" w:cs="宋体"/>
                <w:color w:val="000000"/>
                <w:kern w:val="0"/>
                <w:sz w:val="21"/>
              </w:rPr>
              <w:t>0</w:t>
            </w:r>
          </w:p>
        </w:tc>
        <w:tc>
          <w:tcPr>
            <w:tcW w:w="1396" w:type="dxa"/>
            <w:vAlign w:val="center"/>
          </w:tcPr>
          <w:p w14:paraId="74678A3E">
            <w:pPr>
              <w:spacing w:line="360" w:lineRule="auto"/>
              <w:jc w:val="center"/>
              <w:rPr>
                <w:rFonts w:ascii="宋体" w:hAnsi="宋体" w:cs="宋体"/>
                <w:color w:val="000000"/>
                <w:kern w:val="0"/>
                <w:sz w:val="21"/>
              </w:rPr>
            </w:pPr>
          </w:p>
        </w:tc>
        <w:tc>
          <w:tcPr>
            <w:tcW w:w="1200" w:type="dxa"/>
            <w:vAlign w:val="center"/>
          </w:tcPr>
          <w:p w14:paraId="71AB8A2B">
            <w:pPr>
              <w:spacing w:line="360" w:lineRule="auto"/>
              <w:jc w:val="center"/>
              <w:rPr>
                <w:rFonts w:ascii="宋体" w:hAnsi="宋体" w:cs="宋体"/>
                <w:color w:val="000000"/>
                <w:kern w:val="0"/>
                <w:sz w:val="21"/>
              </w:rPr>
            </w:pPr>
            <w:r>
              <w:rPr>
                <w:rFonts w:hint="eastAsia" w:ascii="宋体" w:hAnsi="宋体" w:cs="宋体"/>
                <w:color w:val="000000"/>
                <w:kern w:val="0"/>
                <w:sz w:val="21"/>
              </w:rPr>
              <w:t>0</w:t>
            </w:r>
          </w:p>
        </w:tc>
        <w:tc>
          <w:tcPr>
            <w:tcW w:w="832" w:type="dxa"/>
            <w:vAlign w:val="center"/>
          </w:tcPr>
          <w:p w14:paraId="0591A771">
            <w:pPr>
              <w:spacing w:line="360" w:lineRule="auto"/>
              <w:jc w:val="center"/>
              <w:rPr>
                <w:rFonts w:ascii="宋体" w:hAnsi="宋体" w:cs="宋体"/>
                <w:color w:val="000000"/>
                <w:kern w:val="0"/>
                <w:sz w:val="21"/>
              </w:rPr>
            </w:pPr>
            <w:r>
              <w:rPr>
                <w:rFonts w:hint="eastAsia" w:ascii="宋体" w:hAnsi="宋体" w:cs="宋体"/>
                <w:color w:val="000000"/>
                <w:kern w:val="0"/>
                <w:sz w:val="21"/>
              </w:rPr>
              <w:t>0</w:t>
            </w:r>
          </w:p>
        </w:tc>
        <w:tc>
          <w:tcPr>
            <w:tcW w:w="627" w:type="dxa"/>
            <w:vAlign w:val="center"/>
          </w:tcPr>
          <w:p w14:paraId="1330A443">
            <w:pPr>
              <w:spacing w:line="360" w:lineRule="auto"/>
              <w:jc w:val="center"/>
              <w:rPr>
                <w:rFonts w:ascii="宋体" w:hAnsi="宋体" w:cs="宋体"/>
                <w:color w:val="000000"/>
                <w:kern w:val="0"/>
                <w:sz w:val="21"/>
              </w:rPr>
            </w:pPr>
            <w:r>
              <w:rPr>
                <w:rFonts w:hint="eastAsia" w:ascii="宋体" w:hAnsi="宋体" w:cs="宋体"/>
                <w:color w:val="000000"/>
                <w:kern w:val="0"/>
                <w:sz w:val="21"/>
              </w:rPr>
              <w:t>2</w:t>
            </w:r>
            <w:r>
              <w:rPr>
                <w:rFonts w:ascii="宋体" w:hAnsi="宋体" w:cs="宋体"/>
                <w:color w:val="000000"/>
                <w:kern w:val="0"/>
                <w:sz w:val="21"/>
              </w:rPr>
              <w:t>0</w:t>
            </w:r>
          </w:p>
        </w:tc>
      </w:tr>
      <w:tr w14:paraId="02ED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vAlign w:val="center"/>
          </w:tcPr>
          <w:p w14:paraId="50266788">
            <w:pPr>
              <w:spacing w:line="360" w:lineRule="auto"/>
              <w:jc w:val="center"/>
              <w:rPr>
                <w:rFonts w:ascii="宋体" w:hAnsi="宋体" w:cs="宋体"/>
                <w:color w:val="000000"/>
                <w:kern w:val="0"/>
                <w:sz w:val="21"/>
              </w:rPr>
            </w:pPr>
            <w:r>
              <w:rPr>
                <w:rFonts w:hint="eastAsia" w:ascii="宋体" w:hAnsi="宋体" w:cs="宋体"/>
                <w:color w:val="000000"/>
                <w:kern w:val="0"/>
                <w:sz w:val="21"/>
              </w:rPr>
              <w:t>第六学期</w:t>
            </w:r>
          </w:p>
        </w:tc>
        <w:tc>
          <w:tcPr>
            <w:tcW w:w="1701" w:type="dxa"/>
            <w:vAlign w:val="center"/>
          </w:tcPr>
          <w:p w14:paraId="58E8DD80">
            <w:pPr>
              <w:spacing w:line="360" w:lineRule="auto"/>
              <w:jc w:val="center"/>
              <w:rPr>
                <w:rFonts w:hint="eastAsia" w:ascii="宋体" w:hAnsi="宋体" w:eastAsia="宋体" w:cs="宋体"/>
                <w:color w:val="000000"/>
                <w:kern w:val="0"/>
                <w:sz w:val="21"/>
                <w:lang w:eastAsia="zh-CN"/>
              </w:rPr>
            </w:pPr>
            <w:r>
              <w:rPr>
                <w:rFonts w:hint="eastAsia" w:ascii="宋体" w:hAnsi="宋体" w:cs="宋体"/>
                <w:color w:val="000000"/>
                <w:kern w:val="0"/>
                <w:sz w:val="21"/>
                <w:lang w:val="en-US" w:eastAsia="zh-CN"/>
              </w:rPr>
              <w:t>0</w:t>
            </w:r>
          </w:p>
        </w:tc>
        <w:tc>
          <w:tcPr>
            <w:tcW w:w="1275" w:type="dxa"/>
            <w:vAlign w:val="center"/>
          </w:tcPr>
          <w:p w14:paraId="08025424">
            <w:pPr>
              <w:spacing w:line="360" w:lineRule="auto"/>
              <w:jc w:val="center"/>
              <w:rPr>
                <w:rFonts w:hint="default" w:ascii="宋体" w:hAnsi="宋体" w:eastAsia="宋体" w:cs="宋体"/>
                <w:color w:val="000000"/>
                <w:kern w:val="0"/>
                <w:sz w:val="21"/>
                <w:lang w:val="en-US" w:eastAsia="zh-CN"/>
              </w:rPr>
            </w:pPr>
            <w:r>
              <w:rPr>
                <w:rFonts w:hint="eastAsia" w:ascii="宋体" w:hAnsi="宋体" w:cs="宋体"/>
                <w:color w:val="000000"/>
                <w:kern w:val="0"/>
                <w:sz w:val="21"/>
                <w:lang w:val="en-US" w:eastAsia="zh-CN"/>
              </w:rPr>
              <w:t>15</w:t>
            </w:r>
          </w:p>
        </w:tc>
        <w:tc>
          <w:tcPr>
            <w:tcW w:w="1396" w:type="dxa"/>
            <w:vAlign w:val="center"/>
          </w:tcPr>
          <w:p w14:paraId="08FBEBB8">
            <w:pPr>
              <w:spacing w:line="360" w:lineRule="auto"/>
              <w:jc w:val="center"/>
              <w:rPr>
                <w:rFonts w:ascii="宋体" w:hAnsi="宋体" w:cs="宋体"/>
                <w:color w:val="000000"/>
                <w:kern w:val="0"/>
                <w:sz w:val="21"/>
              </w:rPr>
            </w:pPr>
          </w:p>
        </w:tc>
        <w:tc>
          <w:tcPr>
            <w:tcW w:w="1200" w:type="dxa"/>
            <w:vAlign w:val="center"/>
          </w:tcPr>
          <w:p w14:paraId="309B7682">
            <w:pPr>
              <w:spacing w:line="360" w:lineRule="auto"/>
              <w:jc w:val="center"/>
              <w:rPr>
                <w:rFonts w:hint="eastAsia" w:ascii="宋体" w:hAnsi="宋体" w:eastAsia="宋体" w:cs="宋体"/>
                <w:color w:val="000000"/>
                <w:kern w:val="0"/>
                <w:sz w:val="21"/>
                <w:lang w:eastAsia="zh-CN"/>
              </w:rPr>
            </w:pPr>
            <w:r>
              <w:rPr>
                <w:rFonts w:hint="eastAsia" w:ascii="宋体" w:hAnsi="宋体" w:cs="宋体"/>
                <w:color w:val="000000"/>
                <w:kern w:val="0"/>
                <w:sz w:val="21"/>
                <w:lang w:val="en-US" w:eastAsia="zh-CN"/>
              </w:rPr>
              <w:t>0</w:t>
            </w:r>
          </w:p>
        </w:tc>
        <w:tc>
          <w:tcPr>
            <w:tcW w:w="832" w:type="dxa"/>
            <w:vAlign w:val="center"/>
          </w:tcPr>
          <w:p w14:paraId="10E48B96">
            <w:pPr>
              <w:spacing w:line="360" w:lineRule="auto"/>
              <w:jc w:val="center"/>
              <w:rPr>
                <w:rFonts w:hint="eastAsia" w:ascii="宋体" w:hAnsi="宋体" w:eastAsia="宋体" w:cs="宋体"/>
                <w:color w:val="000000"/>
                <w:kern w:val="0"/>
                <w:sz w:val="21"/>
                <w:lang w:eastAsia="zh-CN"/>
              </w:rPr>
            </w:pPr>
            <w:r>
              <w:rPr>
                <w:rFonts w:hint="eastAsia" w:ascii="宋体" w:hAnsi="宋体" w:cs="宋体"/>
                <w:color w:val="000000"/>
                <w:kern w:val="0"/>
                <w:sz w:val="21"/>
                <w:lang w:val="en-US" w:eastAsia="zh-CN"/>
              </w:rPr>
              <w:t>0</w:t>
            </w:r>
          </w:p>
        </w:tc>
        <w:tc>
          <w:tcPr>
            <w:tcW w:w="627" w:type="dxa"/>
            <w:vAlign w:val="center"/>
          </w:tcPr>
          <w:p w14:paraId="5D3A6B19">
            <w:pPr>
              <w:spacing w:line="360" w:lineRule="auto"/>
              <w:jc w:val="center"/>
              <w:rPr>
                <w:rFonts w:ascii="宋体" w:hAnsi="宋体" w:cs="宋体"/>
                <w:color w:val="000000"/>
                <w:kern w:val="0"/>
                <w:sz w:val="21"/>
              </w:rPr>
            </w:pPr>
            <w:r>
              <w:rPr>
                <w:rFonts w:ascii="宋体" w:hAnsi="宋体" w:cs="宋体"/>
                <w:color w:val="000000"/>
                <w:kern w:val="0"/>
                <w:sz w:val="21"/>
              </w:rPr>
              <w:t>15</w:t>
            </w:r>
          </w:p>
        </w:tc>
      </w:tr>
      <w:tr w14:paraId="2B9A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vAlign w:val="center"/>
          </w:tcPr>
          <w:p w14:paraId="6CE33A36">
            <w:pPr>
              <w:spacing w:line="360" w:lineRule="auto"/>
              <w:jc w:val="center"/>
              <w:rPr>
                <w:rFonts w:ascii="宋体" w:hAnsi="宋体" w:cs="宋体"/>
                <w:color w:val="000000"/>
                <w:kern w:val="0"/>
                <w:sz w:val="20"/>
              </w:rPr>
            </w:pPr>
            <w:r>
              <w:rPr>
                <w:rFonts w:hint="eastAsia" w:ascii="宋体" w:hAnsi="宋体" w:cs="宋体"/>
                <w:color w:val="000000"/>
                <w:kern w:val="0"/>
                <w:sz w:val="21"/>
              </w:rPr>
              <w:t>总计</w:t>
            </w:r>
          </w:p>
        </w:tc>
        <w:tc>
          <w:tcPr>
            <w:tcW w:w="1701" w:type="dxa"/>
            <w:vAlign w:val="center"/>
          </w:tcPr>
          <w:p w14:paraId="0C4577A0">
            <w:pPr>
              <w:spacing w:line="360" w:lineRule="auto"/>
              <w:jc w:val="center"/>
              <w:rPr>
                <w:rFonts w:ascii="宋体" w:hAnsi="宋体" w:cs="宋体"/>
                <w:color w:val="000000"/>
                <w:kern w:val="0"/>
                <w:sz w:val="20"/>
              </w:rPr>
            </w:pPr>
            <w:r>
              <w:rPr>
                <w:rFonts w:hint="eastAsia" w:ascii="宋体" w:hAnsi="宋体" w:cs="宋体"/>
                <w:color w:val="000000"/>
                <w:kern w:val="0"/>
                <w:sz w:val="20"/>
              </w:rPr>
              <w:t>8</w:t>
            </w:r>
            <w:r>
              <w:rPr>
                <w:rFonts w:ascii="宋体" w:hAnsi="宋体" w:cs="宋体"/>
                <w:color w:val="000000"/>
                <w:kern w:val="0"/>
                <w:sz w:val="20"/>
              </w:rPr>
              <w:t>3</w:t>
            </w:r>
          </w:p>
        </w:tc>
        <w:tc>
          <w:tcPr>
            <w:tcW w:w="1275" w:type="dxa"/>
            <w:vAlign w:val="center"/>
          </w:tcPr>
          <w:p w14:paraId="424D081F">
            <w:pPr>
              <w:spacing w:line="360" w:lineRule="auto"/>
              <w:jc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35</w:t>
            </w:r>
          </w:p>
        </w:tc>
        <w:tc>
          <w:tcPr>
            <w:tcW w:w="1396" w:type="dxa"/>
            <w:vAlign w:val="center"/>
          </w:tcPr>
          <w:p w14:paraId="787E534E">
            <w:pPr>
              <w:spacing w:line="360" w:lineRule="auto"/>
              <w:jc w:val="center"/>
              <w:rPr>
                <w:rFonts w:ascii="宋体" w:hAnsi="宋体" w:cs="宋体"/>
                <w:color w:val="000000"/>
                <w:kern w:val="0"/>
                <w:sz w:val="20"/>
              </w:rPr>
            </w:pPr>
            <w:r>
              <w:rPr>
                <w:rFonts w:hint="eastAsia" w:ascii="宋体" w:hAnsi="宋体" w:cs="宋体"/>
                <w:color w:val="000000"/>
                <w:kern w:val="0"/>
                <w:sz w:val="20"/>
              </w:rPr>
              <w:t>2</w:t>
            </w:r>
          </w:p>
        </w:tc>
        <w:tc>
          <w:tcPr>
            <w:tcW w:w="1200" w:type="dxa"/>
            <w:vAlign w:val="center"/>
          </w:tcPr>
          <w:p w14:paraId="2DC10A4D">
            <w:pPr>
              <w:spacing w:line="360" w:lineRule="auto"/>
              <w:jc w:val="center"/>
              <w:rPr>
                <w:rFonts w:ascii="宋体" w:hAnsi="宋体" w:cs="宋体"/>
                <w:color w:val="000000"/>
                <w:kern w:val="0"/>
                <w:sz w:val="20"/>
              </w:rPr>
            </w:pPr>
            <w:r>
              <w:rPr>
                <w:rFonts w:hint="eastAsia" w:ascii="宋体" w:hAnsi="宋体" w:cs="宋体"/>
                <w:color w:val="000000"/>
                <w:kern w:val="0"/>
                <w:sz w:val="20"/>
              </w:rPr>
              <w:t>5</w:t>
            </w:r>
          </w:p>
        </w:tc>
        <w:tc>
          <w:tcPr>
            <w:tcW w:w="832" w:type="dxa"/>
            <w:vAlign w:val="center"/>
          </w:tcPr>
          <w:p w14:paraId="089768C8">
            <w:pPr>
              <w:spacing w:line="360" w:lineRule="auto"/>
              <w:jc w:val="center"/>
              <w:rPr>
                <w:rFonts w:ascii="宋体" w:hAnsi="宋体" w:cs="宋体"/>
                <w:color w:val="000000"/>
                <w:kern w:val="0"/>
                <w:sz w:val="20"/>
              </w:rPr>
            </w:pPr>
            <w:r>
              <w:rPr>
                <w:rFonts w:hint="eastAsia" w:ascii="宋体" w:hAnsi="宋体" w:cs="宋体"/>
                <w:color w:val="000000"/>
                <w:kern w:val="0"/>
                <w:sz w:val="20"/>
              </w:rPr>
              <w:t>5</w:t>
            </w:r>
          </w:p>
        </w:tc>
        <w:tc>
          <w:tcPr>
            <w:tcW w:w="627" w:type="dxa"/>
            <w:vAlign w:val="center"/>
          </w:tcPr>
          <w:p w14:paraId="0B5B6179">
            <w:pPr>
              <w:spacing w:line="360" w:lineRule="auto"/>
              <w:jc w:val="center"/>
              <w:rPr>
                <w:rFonts w:ascii="宋体" w:hAnsi="宋体" w:cs="宋体"/>
                <w:color w:val="000000"/>
                <w:kern w:val="0"/>
                <w:sz w:val="20"/>
              </w:rPr>
            </w:pPr>
            <w:r>
              <w:rPr>
                <w:rFonts w:hint="eastAsia" w:ascii="宋体" w:hAnsi="宋体" w:cs="宋体"/>
                <w:color w:val="000000"/>
                <w:kern w:val="0"/>
                <w:sz w:val="20"/>
              </w:rPr>
              <w:t>1</w:t>
            </w:r>
            <w:r>
              <w:rPr>
                <w:rFonts w:ascii="宋体" w:hAnsi="宋体" w:cs="宋体"/>
                <w:color w:val="000000"/>
                <w:kern w:val="0"/>
                <w:sz w:val="20"/>
              </w:rPr>
              <w:t>15</w:t>
            </w:r>
          </w:p>
        </w:tc>
      </w:tr>
    </w:tbl>
    <w:p w14:paraId="5CAA40DE">
      <w:pPr>
        <w:spacing w:line="480" w:lineRule="exact"/>
        <w:ind w:firstLine="480" w:firstLineChars="200"/>
        <w:rPr>
          <w:rFonts w:ascii="黑体" w:hAnsi="黑体" w:eastAsia="黑体"/>
          <w:sz w:val="24"/>
        </w:rPr>
      </w:pPr>
      <w:r>
        <w:rPr>
          <w:rFonts w:hint="eastAsia" w:ascii="黑体" w:hAnsi="黑体" w:eastAsia="黑体"/>
          <w:sz w:val="24"/>
        </w:rPr>
        <w:t>八、实施保障</w:t>
      </w:r>
    </w:p>
    <w:p w14:paraId="57027400">
      <w:pPr>
        <w:spacing w:line="480" w:lineRule="exact"/>
        <w:ind w:firstLine="480" w:firstLineChars="200"/>
        <w:rPr>
          <w:rFonts w:ascii="楷体" w:hAnsi="楷体" w:eastAsia="楷体"/>
          <w:sz w:val="24"/>
        </w:rPr>
      </w:pPr>
      <w:r>
        <w:rPr>
          <w:rFonts w:hint="eastAsia" w:ascii="楷体" w:hAnsi="楷体" w:eastAsia="楷体"/>
          <w:sz w:val="24"/>
        </w:rPr>
        <w:t>（一）师资队伍</w:t>
      </w:r>
    </w:p>
    <w:p w14:paraId="1428F59A">
      <w:pPr>
        <w:spacing w:line="480" w:lineRule="exact"/>
        <w:ind w:firstLine="480" w:firstLineChars="200"/>
        <w:rPr>
          <w:sz w:val="24"/>
        </w:rPr>
      </w:pPr>
      <w:r>
        <w:rPr>
          <w:rFonts w:hint="eastAsia"/>
          <w:sz w:val="24"/>
        </w:rPr>
        <w:t>按照“四有好老师”“四个相统一”“四个引路人”的要求建设专业教师队伍，将师德师风作为教师队伍建设的第一标准。</w:t>
      </w:r>
    </w:p>
    <w:p w14:paraId="7D7D60D3">
      <w:pPr>
        <w:spacing w:line="480" w:lineRule="exact"/>
        <w:ind w:firstLine="480" w:firstLineChars="200"/>
        <w:rPr>
          <w:rFonts w:ascii="宋体" w:hAnsi="宋体"/>
          <w:sz w:val="24"/>
        </w:rPr>
      </w:pPr>
      <w:r>
        <w:rPr>
          <w:rFonts w:hint="eastAsia" w:ascii="宋体" w:hAnsi="宋体"/>
          <w:sz w:val="24"/>
        </w:rPr>
        <w:t>1.队伍机构</w:t>
      </w:r>
    </w:p>
    <w:p w14:paraId="0285F52A">
      <w:pPr>
        <w:spacing w:line="480" w:lineRule="exact"/>
        <w:ind w:firstLine="480" w:firstLineChars="200"/>
        <w:rPr>
          <w:rFonts w:ascii="宋体" w:hAnsi="宋体"/>
          <w:sz w:val="24"/>
        </w:rPr>
      </w:pPr>
      <w:r>
        <w:rPr>
          <w:rFonts w:hint="eastAsia" w:ascii="宋体" w:hAnsi="宋体"/>
          <w:sz w:val="24"/>
          <w:lang w:val="en-US" w:eastAsia="zh-CN"/>
        </w:rPr>
        <w:t>大数据与会计专业</w:t>
      </w:r>
      <w:r>
        <w:rPr>
          <w:rFonts w:hint="eastAsia" w:ascii="宋体" w:hAnsi="宋体"/>
          <w:sz w:val="24"/>
        </w:rPr>
        <w:t>学生数与本专业专任教师数比例</w:t>
      </w:r>
      <w:r>
        <w:rPr>
          <w:rFonts w:hint="eastAsia" w:ascii="宋体" w:hAnsi="宋体"/>
          <w:sz w:val="24"/>
          <w:lang w:val="en-US" w:eastAsia="zh-CN"/>
        </w:rPr>
        <w:t>为</w:t>
      </w:r>
      <w:r>
        <w:rPr>
          <w:rFonts w:hint="eastAsia" w:ascii="宋体" w:hAnsi="宋体"/>
          <w:sz w:val="24"/>
        </w:rPr>
        <w:t>2</w:t>
      </w:r>
      <w:r>
        <w:rPr>
          <w:rFonts w:hint="eastAsia" w:ascii="宋体" w:hAnsi="宋体"/>
          <w:sz w:val="24"/>
          <w:lang w:val="en-US" w:eastAsia="zh-CN"/>
        </w:rPr>
        <w:t>0.6</w:t>
      </w:r>
      <w:r>
        <w:rPr>
          <w:rFonts w:hint="eastAsia" w:ascii="宋体" w:hAnsi="宋体"/>
          <w:sz w:val="24"/>
        </w:rPr>
        <w:t xml:space="preserve"> :1 ,双师素质教师占专业教师比例</w:t>
      </w:r>
      <w:r>
        <w:rPr>
          <w:rFonts w:hint="eastAsia" w:ascii="宋体" w:hAnsi="宋体"/>
          <w:sz w:val="24"/>
          <w:lang w:val="en-US" w:eastAsia="zh-CN"/>
        </w:rPr>
        <w:t>为</w:t>
      </w:r>
      <w:r>
        <w:rPr>
          <w:rFonts w:hint="eastAsia" w:ascii="宋体" w:hAnsi="宋体"/>
          <w:sz w:val="24"/>
        </w:rPr>
        <w:t>6</w:t>
      </w:r>
      <w:r>
        <w:rPr>
          <w:rFonts w:hint="eastAsia" w:ascii="宋体" w:hAnsi="宋体"/>
          <w:sz w:val="24"/>
          <w:lang w:val="en-US" w:eastAsia="zh-CN"/>
        </w:rPr>
        <w:t>3</w:t>
      </w:r>
      <w:r>
        <w:rPr>
          <w:rFonts w:hint="eastAsia" w:ascii="宋体" w:hAnsi="宋体"/>
          <w:sz w:val="24"/>
        </w:rPr>
        <w:t>% ,高级职称专任教师的比例为21%</w:t>
      </w:r>
      <w:r>
        <w:rPr>
          <w:rFonts w:hint="eastAsia" w:ascii="宋体" w:hAnsi="宋体"/>
          <w:sz w:val="24"/>
          <w:lang w:val="en-US" w:eastAsia="zh-CN"/>
        </w:rPr>
        <w:t>,</w:t>
      </w:r>
      <w:r>
        <w:rPr>
          <w:rFonts w:hint="eastAsia" w:ascii="宋体" w:hAnsi="宋体"/>
          <w:sz w:val="24"/>
        </w:rPr>
        <w:t>专任教师队伍要考虑职称 、年龄,形成合理的梯队结构。能够整合校内外优质人才资源，选聘企业高级技术人员担任行业导师，组建校企合作、专兼结合的教师团队，建立定期开展专业（学科）教研机制</w:t>
      </w:r>
      <w:r>
        <w:rPr>
          <w:rFonts w:hint="eastAsia"/>
          <w:sz w:val="24"/>
        </w:rPr>
        <w:t>。</w:t>
      </w:r>
    </w:p>
    <w:p w14:paraId="5315D30F">
      <w:pPr>
        <w:spacing w:line="480" w:lineRule="exact"/>
        <w:ind w:firstLine="480" w:firstLineChars="200"/>
        <w:rPr>
          <w:rFonts w:ascii="宋体" w:hAnsi="宋体"/>
          <w:sz w:val="24"/>
        </w:rPr>
      </w:pPr>
      <w:r>
        <w:rPr>
          <w:rFonts w:hint="eastAsia" w:ascii="宋体" w:hAnsi="宋体"/>
          <w:sz w:val="24"/>
        </w:rPr>
        <w:t>2.专任教师</w:t>
      </w:r>
    </w:p>
    <w:p w14:paraId="2C60CF12">
      <w:pPr>
        <w:spacing w:line="480" w:lineRule="exact"/>
        <w:ind w:firstLine="480" w:firstLineChars="200"/>
        <w:rPr>
          <w:rFonts w:hint="eastAsia" w:ascii="宋体" w:hAnsi="宋体"/>
          <w:sz w:val="24"/>
        </w:rPr>
      </w:pPr>
      <w:r>
        <w:rPr>
          <w:rFonts w:hint="eastAsia" w:ascii="宋体" w:hAnsi="宋体"/>
          <w:sz w:val="24"/>
          <w:lang w:val="en-US" w:eastAsia="zh-CN"/>
        </w:rPr>
        <w:t>大数据与会计专业</w:t>
      </w:r>
      <w:r>
        <w:rPr>
          <w:rFonts w:hint="eastAsia" w:ascii="宋体" w:hAnsi="宋体"/>
          <w:sz w:val="24"/>
        </w:rPr>
        <w:t>专任教师具有高校教师资格</w:t>
      </w:r>
      <w:r>
        <w:rPr>
          <w:rFonts w:hint="eastAsia" w:ascii="宋体" w:hAnsi="宋体"/>
          <w:sz w:val="24"/>
          <w:lang w:val="en-US" w:eastAsia="zh-CN"/>
        </w:rPr>
        <w:t>:</w:t>
      </w:r>
      <w:r>
        <w:rPr>
          <w:rFonts w:hint="eastAsia" w:ascii="宋体" w:hAnsi="宋体"/>
          <w:sz w:val="24"/>
        </w:rPr>
        <w:t>具有会计学、审计学、财务管理、财务会计教育、大数据与会计、大数据与财务管理、大数据与审计等相关专业本科及以上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技术研发与社会服务；专业教师每年至少1个月在企业或生产性实训基地锻炼</w:t>
      </w:r>
      <w:r>
        <w:rPr>
          <w:rFonts w:hint="eastAsia" w:ascii="宋体" w:hAnsi="宋体"/>
          <w:sz w:val="24"/>
          <w:lang w:val="en-US" w:eastAsia="zh-CN"/>
        </w:rPr>
        <w:t>,</w:t>
      </w:r>
      <w:r>
        <w:rPr>
          <w:rFonts w:hint="eastAsia" w:ascii="宋体" w:hAnsi="宋体"/>
          <w:sz w:val="24"/>
        </w:rPr>
        <w:t>每5年累计不少于6个月的企业实践经历。</w:t>
      </w:r>
    </w:p>
    <w:p w14:paraId="77301AA4">
      <w:pPr>
        <w:spacing w:line="480" w:lineRule="exact"/>
        <w:ind w:firstLine="480" w:firstLineChars="200"/>
        <w:rPr>
          <w:sz w:val="24"/>
        </w:rPr>
      </w:pPr>
      <w:r>
        <w:rPr>
          <w:rFonts w:hint="eastAsia" w:ascii="宋体" w:hAnsi="宋体"/>
          <w:sz w:val="24"/>
        </w:rPr>
        <w:t>3.</w:t>
      </w:r>
      <w:r>
        <w:rPr>
          <w:rFonts w:hint="eastAsia"/>
          <w:sz w:val="24"/>
        </w:rPr>
        <w:t>专业带头人</w:t>
      </w:r>
    </w:p>
    <w:p w14:paraId="1FE5297D">
      <w:pPr>
        <w:spacing w:line="480" w:lineRule="exact"/>
        <w:ind w:firstLine="480" w:firstLineChars="200"/>
        <w:rPr>
          <w:rFonts w:hint="eastAsia"/>
          <w:sz w:val="24"/>
        </w:rPr>
      </w:pPr>
      <w:r>
        <w:rPr>
          <w:rFonts w:hint="eastAsia" w:ascii="宋体" w:hAnsi="宋体"/>
          <w:sz w:val="24"/>
          <w:lang w:val="en-US" w:eastAsia="zh-CN"/>
        </w:rPr>
        <w:t>大数据与会计专业</w:t>
      </w:r>
      <w:r>
        <w:rPr>
          <w:rFonts w:hint="eastAsia"/>
          <w:sz w:val="24"/>
        </w:rPr>
        <w:t>带头人具有本专业及相关专业副高及以上职称和较强的实践能力，能够较好地把握国内外会计、审计、税务服务行业、专业发展</w:t>
      </w:r>
      <w:r>
        <w:rPr>
          <w:rFonts w:hint="eastAsia"/>
          <w:sz w:val="24"/>
          <w:lang w:eastAsia="zh-CN"/>
        </w:rPr>
        <w:t>，</w:t>
      </w:r>
      <w:r>
        <w:rPr>
          <w:rFonts w:hint="eastAsia"/>
          <w:sz w:val="24"/>
        </w:rPr>
        <w:t>能广泛联系行业企业</w:t>
      </w:r>
      <w:r>
        <w:rPr>
          <w:rFonts w:hint="eastAsia"/>
          <w:sz w:val="24"/>
          <w:lang w:val="en-US" w:eastAsia="zh-CN"/>
        </w:rPr>
        <w:t>,</w:t>
      </w:r>
      <w:r>
        <w:rPr>
          <w:rFonts w:hint="eastAsia"/>
          <w:sz w:val="24"/>
        </w:rPr>
        <w:t>了解行业企业对本专业人才的需求实际，主持专业建设、开展教育教学改革、教科研工作和社会服务能力强，在本专业改革发展中起引领作用。</w:t>
      </w:r>
    </w:p>
    <w:p w14:paraId="08C20508">
      <w:pPr>
        <w:spacing w:line="480" w:lineRule="exact"/>
        <w:ind w:firstLine="480" w:firstLineChars="200"/>
        <w:rPr>
          <w:sz w:val="24"/>
        </w:rPr>
      </w:pPr>
      <w:r>
        <w:rPr>
          <w:rFonts w:ascii="宋体" w:hAnsi="宋体"/>
          <w:sz w:val="24"/>
        </w:rPr>
        <w:t>4.</w:t>
      </w:r>
      <w:r>
        <w:rPr>
          <w:rFonts w:hint="eastAsia"/>
          <w:sz w:val="24"/>
        </w:rPr>
        <w:t>兼职教师</w:t>
      </w:r>
    </w:p>
    <w:p w14:paraId="490E606B">
      <w:pPr>
        <w:spacing w:line="480" w:lineRule="exact"/>
        <w:ind w:firstLine="480" w:firstLineChars="200"/>
        <w:rPr>
          <w:rFonts w:hint="eastAsia"/>
          <w:sz w:val="24"/>
        </w:rPr>
      </w:pPr>
      <w:r>
        <w:rPr>
          <w:rFonts w:hint="eastAsia" w:ascii="宋体" w:hAnsi="宋体"/>
          <w:sz w:val="24"/>
          <w:lang w:val="en-US" w:eastAsia="zh-CN"/>
        </w:rPr>
        <w:t>大数据与会计专业</w:t>
      </w:r>
      <w:r>
        <w:rPr>
          <w:rFonts w:hint="eastAsia"/>
          <w:sz w:val="24"/>
        </w:rPr>
        <w:t>兼职教师主要从本专业相关的行业企业聘任</w:t>
      </w:r>
      <w:r>
        <w:rPr>
          <w:rFonts w:hint="eastAsia"/>
          <w:sz w:val="24"/>
          <w:lang w:eastAsia="zh-CN"/>
        </w:rPr>
        <w:t>，</w:t>
      </w:r>
      <w:r>
        <w:rPr>
          <w:rFonts w:hint="eastAsia"/>
          <w:sz w:val="24"/>
        </w:rPr>
        <w:t>具备良好的思想政治素质</w:t>
      </w:r>
      <w:r>
        <w:rPr>
          <w:rFonts w:hint="eastAsia"/>
          <w:sz w:val="24"/>
          <w:lang w:eastAsia="zh-CN"/>
        </w:rPr>
        <w:t>、</w:t>
      </w:r>
      <w:r>
        <w:rPr>
          <w:rFonts w:hint="eastAsia"/>
          <w:sz w:val="24"/>
        </w:rPr>
        <w:t>职业道德和工匠精神</w:t>
      </w:r>
      <w:r>
        <w:rPr>
          <w:rFonts w:hint="eastAsia"/>
          <w:sz w:val="24"/>
          <w:lang w:eastAsia="zh-CN"/>
        </w:rPr>
        <w:t>，</w:t>
      </w:r>
      <w:r>
        <w:rPr>
          <w:rFonts w:hint="eastAsia"/>
          <w:sz w:val="24"/>
        </w:rPr>
        <w:t>具有扎实的专业知识和丰富的实际工作经验</w:t>
      </w:r>
      <w:r>
        <w:rPr>
          <w:rFonts w:hint="eastAsia"/>
          <w:sz w:val="24"/>
          <w:lang w:eastAsia="zh-CN"/>
        </w:rPr>
        <w:t>，</w:t>
      </w:r>
      <w:r>
        <w:rPr>
          <w:rFonts w:hint="eastAsia"/>
          <w:sz w:val="24"/>
        </w:rPr>
        <w:t>具有中级及以上相关专业职称</w:t>
      </w:r>
      <w:r>
        <w:rPr>
          <w:rFonts w:hint="eastAsia"/>
          <w:sz w:val="24"/>
          <w:lang w:eastAsia="zh-CN"/>
        </w:rPr>
        <w:t>，</w:t>
      </w:r>
      <w:r>
        <w:rPr>
          <w:rFonts w:hint="eastAsia"/>
          <w:sz w:val="24"/>
        </w:rPr>
        <w:t>能承担专业课程教学、实习实训指导和学生职业发展规划指导等教学任务。</w:t>
      </w:r>
    </w:p>
    <w:p w14:paraId="69545E9B">
      <w:pPr>
        <w:numPr>
          <w:ilvl w:val="0"/>
          <w:numId w:val="3"/>
        </w:numPr>
        <w:spacing w:line="480" w:lineRule="exact"/>
        <w:ind w:firstLine="480" w:firstLineChars="200"/>
        <w:rPr>
          <w:rFonts w:hint="eastAsia" w:ascii="楷体" w:hAnsi="楷体" w:eastAsia="楷体"/>
          <w:sz w:val="24"/>
        </w:rPr>
      </w:pPr>
      <w:r>
        <w:rPr>
          <w:rFonts w:hint="eastAsia" w:ascii="楷体" w:hAnsi="楷体" w:eastAsia="楷体"/>
          <w:sz w:val="24"/>
        </w:rPr>
        <w:t>教学设施</w:t>
      </w:r>
    </w:p>
    <w:p w14:paraId="5B18F8A1">
      <w:pPr>
        <w:spacing w:line="480" w:lineRule="exact"/>
        <w:ind w:firstLine="480" w:firstLineChars="200"/>
        <w:rPr>
          <w:rFonts w:hint="eastAsia" w:ascii="楷体" w:hAnsi="楷体" w:eastAsia="楷体"/>
          <w:sz w:val="24"/>
        </w:rPr>
      </w:pPr>
      <w:r>
        <w:rPr>
          <w:rFonts w:hint="eastAsia"/>
          <w:sz w:val="24"/>
        </w:rPr>
        <w:t>主要包括能够满足正常的课程教学、实习实训所需的专业教室、实验室、实训室和实习实训基地。</w:t>
      </w:r>
    </w:p>
    <w:p w14:paraId="64BE5CFD">
      <w:pPr>
        <w:spacing w:line="480" w:lineRule="exact"/>
        <w:ind w:firstLine="480" w:firstLineChars="200"/>
        <w:rPr>
          <w:sz w:val="24"/>
        </w:rPr>
      </w:pPr>
      <w:r>
        <w:rPr>
          <w:rFonts w:hint="eastAsia" w:ascii="宋体" w:hAnsi="宋体"/>
          <w:sz w:val="24"/>
        </w:rPr>
        <w:t>1</w:t>
      </w:r>
      <w:r>
        <w:rPr>
          <w:rFonts w:ascii="宋体" w:hAnsi="宋体"/>
          <w:sz w:val="24"/>
        </w:rPr>
        <w:t>.</w:t>
      </w:r>
      <w:r>
        <w:rPr>
          <w:sz w:val="24"/>
        </w:rPr>
        <w:t>专业教室基本</w:t>
      </w:r>
      <w:r>
        <w:rPr>
          <w:rFonts w:hint="eastAsia"/>
          <w:sz w:val="24"/>
        </w:rPr>
        <w:t>条件</w:t>
      </w:r>
    </w:p>
    <w:p w14:paraId="415E7D3B">
      <w:pPr>
        <w:spacing w:line="480" w:lineRule="exact"/>
        <w:ind w:firstLine="480" w:firstLineChars="200"/>
        <w:rPr>
          <w:spacing w:val="4"/>
        </w:rPr>
      </w:pPr>
      <w:r>
        <w:rPr>
          <w:rFonts w:hint="eastAsia"/>
          <w:sz w:val="24"/>
        </w:rPr>
        <w:t>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w:t>
      </w:r>
    </w:p>
    <w:p w14:paraId="6AF8664D">
      <w:pPr>
        <w:spacing w:line="480" w:lineRule="exact"/>
        <w:ind w:firstLine="480" w:firstLineChars="200"/>
        <w:rPr>
          <w:sz w:val="24"/>
        </w:rPr>
      </w:pPr>
      <w:r>
        <w:rPr>
          <w:rFonts w:ascii="宋体" w:hAnsi="宋体"/>
          <w:sz w:val="24"/>
        </w:rPr>
        <w:t>2.</w:t>
      </w:r>
      <w:r>
        <w:rPr>
          <w:rFonts w:hint="eastAsia"/>
          <w:sz w:val="24"/>
        </w:rPr>
        <w:t>校内实践教学条件</w:t>
      </w:r>
    </w:p>
    <w:p w14:paraId="10FC5D03">
      <w:pPr>
        <w:spacing w:line="480" w:lineRule="exact"/>
        <w:ind w:firstLine="480" w:firstLineChars="200"/>
        <w:rPr>
          <w:rFonts w:ascii="宋体" w:hAnsi="宋体"/>
          <w:b/>
          <w:bCs/>
          <w:kern w:val="0"/>
          <w:sz w:val="32"/>
          <w:szCs w:val="32"/>
        </w:rPr>
      </w:pPr>
      <w:r>
        <w:rPr>
          <w:rFonts w:hint="eastAsia" w:ascii="宋体" w:hAnsi="宋体" w:cs="宋体"/>
          <w:sz w:val="24"/>
        </w:rPr>
        <w:t>实验、实训场所面积、设备设施、安全、环境、管理等符合教育部有关标准（规定、办 法），实验、实训环境与设备设施对接真实职业场景或工作情境</w:t>
      </w:r>
      <w:r>
        <w:rPr>
          <w:rFonts w:hint="eastAsia" w:ascii="宋体" w:hAnsi="宋体" w:cs="宋体"/>
          <w:sz w:val="24"/>
          <w:lang w:val="en-US" w:eastAsia="zh-CN"/>
        </w:rPr>
        <w:t>,</w:t>
      </w:r>
      <w:r>
        <w:rPr>
          <w:rFonts w:hint="eastAsia" w:ascii="宋体" w:hAnsi="宋体" w:cs="宋体"/>
          <w:sz w:val="24"/>
        </w:rPr>
        <w:t>实训项目注重工学结合、理实一体化</w:t>
      </w:r>
      <w:r>
        <w:rPr>
          <w:rFonts w:hint="eastAsia" w:ascii="宋体" w:hAnsi="宋体" w:cs="宋体"/>
          <w:sz w:val="24"/>
          <w:lang w:val="en-US" w:eastAsia="zh-CN"/>
        </w:rPr>
        <w:t>,</w:t>
      </w:r>
      <w:r>
        <w:rPr>
          <w:rFonts w:hint="eastAsia" w:ascii="宋体" w:hAnsi="宋体" w:cs="宋体"/>
          <w:sz w:val="24"/>
        </w:rPr>
        <w:t>实验、实训指导教师配备合理</w:t>
      </w:r>
      <w:r>
        <w:rPr>
          <w:rFonts w:hint="eastAsia" w:ascii="宋体" w:hAnsi="宋体" w:cs="宋体"/>
          <w:sz w:val="24"/>
          <w:lang w:val="en-US" w:eastAsia="zh-CN"/>
        </w:rPr>
        <w:t>,</w:t>
      </w:r>
      <w:r>
        <w:rPr>
          <w:rFonts w:hint="eastAsia" w:ascii="宋体" w:hAnsi="宋体" w:cs="宋体"/>
          <w:sz w:val="24"/>
        </w:rPr>
        <w:t>实验、实训管理及实施规章制度齐全，确保能 够顺利开展出纳业务、大数据技术应用、云财务会计、智能财会系统应用、企业经营沙盘对抗、智能化成本核算与管理、智慧化税费申报与管理、数字化管理会计、财务大数据分析、会计信息系统应用等实验、实训活动。鼓励在实训中运用大数据、云计算、人工智能、虚拟仿真等前沿信息技术。</w:t>
      </w:r>
    </w:p>
    <w:p w14:paraId="2BF60AF8">
      <w:pPr>
        <w:spacing w:line="480" w:lineRule="exact"/>
        <w:ind w:firstLine="480" w:firstLineChars="200"/>
        <w:rPr>
          <w:rFonts w:ascii="宋体" w:hAnsi="宋体" w:cs="宋体"/>
          <w:sz w:val="24"/>
        </w:rPr>
      </w:pPr>
      <w:r>
        <w:rPr>
          <w:rFonts w:ascii="宋体" w:hAnsi="宋体" w:cs="宋体"/>
          <w:sz w:val="24"/>
        </w:rPr>
        <w:t>3.</w:t>
      </w:r>
      <w:r>
        <w:rPr>
          <w:rFonts w:hint="eastAsia" w:ascii="宋体" w:hAnsi="宋体" w:cs="宋体"/>
          <w:sz w:val="24"/>
        </w:rPr>
        <w:t>校外实践教学条件要求</w:t>
      </w:r>
    </w:p>
    <w:p w14:paraId="6565039C">
      <w:pPr>
        <w:spacing w:line="480" w:lineRule="exact"/>
        <w:ind w:firstLine="480" w:firstLineChars="200"/>
        <w:rPr>
          <w:rFonts w:hint="eastAsia" w:ascii="宋体" w:hAnsi="宋体" w:cs="宋体"/>
          <w:sz w:val="24"/>
        </w:rPr>
      </w:pPr>
      <w:r>
        <w:rPr>
          <w:rFonts w:hint="eastAsia" w:ascii="宋体" w:hAnsi="宋体" w:cs="宋体"/>
          <w:sz w:val="24"/>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14:paraId="190F892A">
      <w:pPr>
        <w:spacing w:line="480" w:lineRule="exact"/>
        <w:ind w:firstLine="480" w:firstLineChars="200"/>
        <w:rPr>
          <w:rFonts w:ascii="宋体" w:hAnsi="宋体" w:cs="宋体"/>
          <w:sz w:val="24"/>
        </w:rPr>
      </w:pPr>
      <w:r>
        <w:rPr>
          <w:rFonts w:hint="eastAsia" w:ascii="宋体" w:hAnsi="宋体" w:cs="宋体"/>
          <w:sz w:val="24"/>
        </w:rPr>
        <w:t>根据本专业人才培养的需要和未来就业需求，实习基地应能提供企业会计核算、企业内部会计控制、社会审计、企业财务大数据分析、企业会计信息管理、企业税务管理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040DC529">
      <w:pPr>
        <w:spacing w:line="480" w:lineRule="exact"/>
        <w:ind w:firstLine="480" w:firstLineChars="200"/>
        <w:rPr>
          <w:rFonts w:ascii="楷体" w:hAnsi="楷体" w:eastAsia="楷体"/>
          <w:sz w:val="24"/>
        </w:rPr>
      </w:pPr>
      <w:r>
        <w:rPr>
          <w:rFonts w:hint="eastAsia" w:ascii="楷体" w:hAnsi="楷体" w:eastAsia="楷体"/>
          <w:sz w:val="24"/>
        </w:rPr>
        <w:t>（三）教学资源</w:t>
      </w:r>
    </w:p>
    <w:p w14:paraId="22FAD6FB">
      <w:pPr>
        <w:spacing w:line="480" w:lineRule="exact"/>
        <w:ind w:firstLine="480" w:firstLineChars="200"/>
        <w:rPr>
          <w:rFonts w:ascii="宋体" w:hAnsi="宋体" w:cs="宋体"/>
          <w:sz w:val="24"/>
        </w:rPr>
      </w:pPr>
      <w:r>
        <w:rPr>
          <w:rFonts w:hint="eastAsia" w:ascii="宋体" w:hAnsi="宋体" w:cs="宋体"/>
          <w:sz w:val="24"/>
        </w:rPr>
        <w:t>1.教材选用基本要求</w:t>
      </w:r>
    </w:p>
    <w:p w14:paraId="71E88680">
      <w:pPr>
        <w:spacing w:line="480" w:lineRule="exact"/>
        <w:ind w:firstLine="480" w:firstLineChars="200"/>
        <w:rPr>
          <w:rFonts w:ascii="宋体" w:hAnsi="宋体" w:cs="宋体"/>
          <w:sz w:val="24"/>
        </w:rPr>
      </w:pPr>
      <w:r>
        <w:rPr>
          <w:rFonts w:hint="eastAsia" w:ascii="宋体" w:hAnsi="宋体" w:cs="宋体"/>
          <w:sz w:val="24"/>
        </w:rPr>
        <w:t>按照国家规定</w:t>
      </w:r>
      <w:r>
        <w:rPr>
          <w:rFonts w:hint="eastAsia" w:ascii="宋体" w:hAnsi="宋体" w:cs="宋体"/>
          <w:sz w:val="24"/>
          <w:lang w:val="en-US" w:eastAsia="zh-CN"/>
        </w:rPr>
        <w:t>,</w:t>
      </w:r>
      <w:r>
        <w:rPr>
          <w:rFonts w:hint="eastAsia" w:ascii="宋体" w:hAnsi="宋体" w:cs="宋体"/>
          <w:sz w:val="24"/>
        </w:rPr>
        <w:t>经过规范程序选用教材</w:t>
      </w:r>
      <w:r>
        <w:rPr>
          <w:rFonts w:hint="eastAsia" w:ascii="宋体" w:hAnsi="宋体" w:cs="宋体"/>
          <w:sz w:val="24"/>
          <w:lang w:val="en-US" w:eastAsia="zh-CN"/>
        </w:rPr>
        <w:t>,</w:t>
      </w:r>
      <w:r>
        <w:rPr>
          <w:rFonts w:hint="eastAsia" w:ascii="宋体" w:hAnsi="宋体" w:cs="宋体"/>
          <w:sz w:val="24"/>
        </w:rPr>
        <w:t>优先选用国家规划教材和国家优秀教材。专业课程教材应体现本行业新技术、新规范、新标准、新形态，并通过数字教材、活页式教材等多种方式进行动态更新。</w:t>
      </w:r>
    </w:p>
    <w:p w14:paraId="2AB5F51D">
      <w:pPr>
        <w:spacing w:line="480" w:lineRule="exact"/>
        <w:ind w:firstLine="480" w:firstLineChars="200"/>
        <w:rPr>
          <w:rFonts w:ascii="宋体" w:hAnsi="宋体" w:cs="宋体"/>
          <w:sz w:val="24"/>
        </w:rPr>
      </w:pPr>
      <w:r>
        <w:rPr>
          <w:rFonts w:hint="eastAsia" w:ascii="宋体" w:hAnsi="宋体" w:cs="宋体"/>
          <w:sz w:val="24"/>
        </w:rPr>
        <w:t>2.图书文献配备基本要求</w:t>
      </w:r>
    </w:p>
    <w:p w14:paraId="02261A83">
      <w:pPr>
        <w:spacing w:line="480" w:lineRule="exact"/>
        <w:ind w:firstLine="480" w:firstLineChars="200"/>
        <w:rPr>
          <w:rFonts w:ascii="宋体" w:hAnsi="宋体" w:cs="宋体"/>
          <w:sz w:val="24"/>
        </w:rPr>
      </w:pPr>
      <w:r>
        <w:rPr>
          <w:rFonts w:hint="eastAsia" w:ascii="宋体" w:hAnsi="宋体" w:cs="宋体"/>
          <w:sz w:val="24"/>
        </w:rPr>
        <w:t>图书文献配备能满足会计人才培养、专业建设、教科研等工作的需要</w:t>
      </w:r>
      <w:r>
        <w:rPr>
          <w:rFonts w:hint="eastAsia" w:ascii="宋体" w:hAnsi="宋体" w:cs="宋体"/>
          <w:sz w:val="24"/>
          <w:lang w:eastAsia="zh-CN"/>
        </w:rPr>
        <w:t>。</w:t>
      </w:r>
      <w:r>
        <w:rPr>
          <w:rFonts w:hint="eastAsia" w:ascii="宋体" w:hAnsi="宋体" w:cs="宋体"/>
          <w:sz w:val="24"/>
        </w:rPr>
        <w:t>专业类图书文献主要包括：有关大数据与会计理论、技术、方法、思维以及实务操作类图书和经济、管理、文化、大数据与会计、信息技术类文献等。及时配置新经济、新技术、新工艺、新材料、新管理方式、新服务方式等相关的图书文献。</w:t>
      </w:r>
    </w:p>
    <w:p w14:paraId="4F4AC169">
      <w:pPr>
        <w:spacing w:line="480" w:lineRule="exact"/>
        <w:ind w:firstLine="480" w:firstLineChars="200"/>
        <w:rPr>
          <w:rFonts w:ascii="宋体" w:hAnsi="宋体" w:cs="宋体"/>
          <w:sz w:val="24"/>
        </w:rPr>
      </w:pPr>
      <w:r>
        <w:rPr>
          <w:rFonts w:hint="eastAsia" w:ascii="宋体" w:hAnsi="宋体" w:cs="宋体"/>
          <w:sz w:val="24"/>
        </w:rPr>
        <w:t>3.数字教学资源配置基本要求</w:t>
      </w:r>
    </w:p>
    <w:p w14:paraId="30E7FFBD">
      <w:pPr>
        <w:spacing w:line="480" w:lineRule="exact"/>
        <w:ind w:firstLine="480" w:firstLineChars="200"/>
        <w:rPr>
          <w:rFonts w:ascii="宋体" w:hAnsi="宋体" w:cs="宋体"/>
          <w:sz w:val="24"/>
        </w:rPr>
      </w:pPr>
      <w:r>
        <w:rPr>
          <w:rFonts w:hint="eastAsia" w:ascii="宋体" w:hAnsi="宋体" w:cs="宋体"/>
          <w:sz w:val="24"/>
        </w:rPr>
        <w:t>建设大数据与会计专业教学资源库，所有核心课程均建设在线课程资源，配备与课程相关的微课视频、音频素材、教学课件、数字化教学案例库、题库、虚拟仿真软件等专业教学资源库；开发和使用国家级、省级和校级在线精品开放课程资源，课程资源形式多样、使用便捷，实现数字教学资源全覆盖和动态更新，每年至少更新10%，每三年整体更新一次。</w:t>
      </w:r>
    </w:p>
    <w:p w14:paraId="0DFAE221">
      <w:pPr>
        <w:spacing w:line="480" w:lineRule="exact"/>
        <w:ind w:firstLine="480" w:firstLineChars="200"/>
        <w:rPr>
          <w:rFonts w:ascii="楷体" w:hAnsi="楷体" w:eastAsia="楷体"/>
          <w:sz w:val="24"/>
        </w:rPr>
      </w:pPr>
      <w:r>
        <w:rPr>
          <w:rFonts w:hint="eastAsia" w:ascii="楷体" w:hAnsi="楷体" w:eastAsia="楷体"/>
          <w:sz w:val="24"/>
        </w:rPr>
        <w:t>（四）教学方法</w:t>
      </w:r>
    </w:p>
    <w:p w14:paraId="6CC1BB31">
      <w:pPr>
        <w:spacing w:line="480" w:lineRule="exact"/>
        <w:ind w:firstLine="480" w:firstLineChars="200"/>
        <w:rPr>
          <w:rFonts w:ascii="宋体" w:hAnsi="宋体" w:cs="宋体"/>
          <w:sz w:val="24"/>
        </w:rPr>
      </w:pPr>
      <w:r>
        <w:rPr>
          <w:rFonts w:hint="eastAsia" w:ascii="宋体" w:hAnsi="宋体" w:cs="宋体"/>
          <w:sz w:val="24"/>
        </w:rPr>
        <w:t>依据“依托行业、联合企业、教学生产一体化”的人才培养模式的要求，在教学过程中应贯彻“学中做，做中学”的教学模式，对于职业核心能力课程、专业基本技能课程要紧密联系实例，引导学生运用知识分析、解决实际问题；对于专业核心技能课程，按照“资讯、决策、计划、实施、检查、评价”的六步法组织教学。</w:t>
      </w:r>
    </w:p>
    <w:p w14:paraId="5F373146">
      <w:pPr>
        <w:spacing w:line="480" w:lineRule="exact"/>
        <w:ind w:firstLine="480" w:firstLineChars="200"/>
        <w:rPr>
          <w:rFonts w:ascii="宋体" w:hAnsi="宋体" w:cs="宋体"/>
          <w:sz w:val="24"/>
        </w:rPr>
      </w:pPr>
      <w:r>
        <w:rPr>
          <w:rFonts w:hint="eastAsia" w:ascii="宋体" w:hAnsi="宋体" w:cs="宋体"/>
          <w:sz w:val="24"/>
        </w:rPr>
        <w:t>运用现代教育技术，建立虚拟、仿真环境，利用安全实训基地，实现现场教学情境。</w:t>
      </w:r>
    </w:p>
    <w:p w14:paraId="636A289D">
      <w:pPr>
        <w:spacing w:line="480" w:lineRule="exact"/>
        <w:ind w:firstLine="480" w:firstLineChars="200"/>
        <w:rPr>
          <w:rFonts w:ascii="宋体" w:hAnsi="宋体" w:cs="宋体"/>
          <w:sz w:val="24"/>
        </w:rPr>
      </w:pPr>
      <w:r>
        <w:rPr>
          <w:rFonts w:hint="eastAsia" w:ascii="宋体" w:hAnsi="宋体" w:cs="宋体"/>
          <w:sz w:val="24"/>
        </w:rPr>
        <w:t>为了满足电气自动化技术专业职业岗位的需求</w:t>
      </w:r>
      <w:r>
        <w:rPr>
          <w:rFonts w:ascii="宋体" w:hAnsi="宋体" w:cs="宋体"/>
          <w:sz w:val="24"/>
        </w:rPr>
        <w:t>,</w:t>
      </w:r>
      <w:r>
        <w:rPr>
          <w:rFonts w:hint="eastAsia" w:ascii="宋体" w:hAnsi="宋体" w:cs="宋体"/>
          <w:sz w:val="24"/>
        </w:rPr>
        <w:t>确实提高学生的职业能力</w:t>
      </w:r>
      <w:r>
        <w:rPr>
          <w:rFonts w:ascii="宋体" w:hAnsi="宋体" w:cs="宋体"/>
          <w:sz w:val="24"/>
        </w:rPr>
        <w:t>,</w:t>
      </w:r>
      <w:r>
        <w:rPr>
          <w:rFonts w:hint="eastAsia" w:ascii="宋体" w:hAnsi="宋体" w:cs="宋体"/>
          <w:sz w:val="24"/>
        </w:rPr>
        <w:t>在教学过程中充分应用任务驱动、项目导向的教学方法，根据课程内容和学生特点，灵活运用案例分析法、分组讨论法、体验教学法、实践操作法、讲练结合法等教学方法，引导学生积极思考、乐于实践，提高教学效果。教学过程中采用虚拟产品、仿真加工、网络教学课件等多种教学手段，激发学生的学习兴趣，解决大多数学校存在的加工设备工位数偏少的问题，提高了设备利用率，有效降低生均教学成本并提高教学质量。</w:t>
      </w:r>
    </w:p>
    <w:p w14:paraId="7AA4F53C">
      <w:pPr>
        <w:spacing w:line="480" w:lineRule="exact"/>
        <w:ind w:firstLine="480" w:firstLineChars="200"/>
        <w:rPr>
          <w:rFonts w:ascii="楷体" w:hAnsi="楷体" w:eastAsia="楷体"/>
          <w:sz w:val="24"/>
        </w:rPr>
      </w:pPr>
      <w:r>
        <w:rPr>
          <w:rFonts w:hint="eastAsia" w:ascii="楷体" w:hAnsi="楷体" w:eastAsia="楷体"/>
          <w:sz w:val="24"/>
        </w:rPr>
        <w:t>（五）学习评价</w:t>
      </w:r>
    </w:p>
    <w:p w14:paraId="2560F5B6">
      <w:pPr>
        <w:spacing w:line="480" w:lineRule="exact"/>
        <w:ind w:firstLine="480" w:firstLineChars="200"/>
        <w:rPr>
          <w:rFonts w:ascii="宋体" w:hAnsi="宋体" w:cs="宋体"/>
          <w:sz w:val="24"/>
        </w:rPr>
      </w:pPr>
      <w:r>
        <w:rPr>
          <w:rFonts w:hint="eastAsia" w:ascii="宋体" w:hAnsi="宋体" w:cs="宋体"/>
          <w:sz w:val="24"/>
        </w:rPr>
        <w:t>对学生的学业考核评价内容兼顾知识积累、专业技能提升、学习能力提升，专业及职业发展能力提升等多个维度，体现评价标准、评价主体、评价方式、评价过程的多元化。评价主体包括教师评价、学生评价、企业评价等；评价方式包括观察、口试、笔试、操作、职业技能考核、职业技能竞赛、职业证书认定、大作业、项目报告、课程作品等；评价过程包括过程评价和期末评价，注重过程评价，以学习态度、操作能力、方法运用、学习能力，合作精神为考核要素，以学习阶段、学习项目或典型工作任务为单元组织考核。考查课程过程考核占比不低于60%，考试课程过程考核占比不低于40%。</w:t>
      </w:r>
    </w:p>
    <w:p w14:paraId="13BF04C9">
      <w:pPr>
        <w:spacing w:line="480" w:lineRule="exact"/>
        <w:ind w:firstLine="480" w:firstLineChars="200"/>
        <w:rPr>
          <w:rFonts w:ascii="楷体" w:hAnsi="楷体" w:eastAsia="楷体"/>
          <w:sz w:val="24"/>
        </w:rPr>
      </w:pPr>
      <w:r>
        <w:rPr>
          <w:rFonts w:hint="eastAsia" w:ascii="楷体" w:hAnsi="楷体" w:eastAsia="楷体"/>
          <w:sz w:val="24"/>
        </w:rPr>
        <w:t>（六）质量管理</w:t>
      </w:r>
    </w:p>
    <w:p w14:paraId="5E1A911C">
      <w:pPr>
        <w:spacing w:line="480" w:lineRule="exact"/>
        <w:ind w:firstLine="480" w:firstLineChars="200"/>
        <w:rPr>
          <w:rFonts w:ascii="宋体" w:hAnsi="宋体" w:cs="宋体"/>
          <w:sz w:val="24"/>
        </w:rPr>
      </w:pPr>
      <w:r>
        <w:rPr>
          <w:rFonts w:hint="eastAsia" w:ascii="宋体" w:hAnsi="宋体" w:cs="宋体"/>
          <w:sz w:val="24"/>
        </w:rPr>
        <w:t>1.建立系级教学质量保障组织机构</w:t>
      </w:r>
    </w:p>
    <w:p w14:paraId="3C877EE2">
      <w:pPr>
        <w:spacing w:line="480" w:lineRule="exact"/>
        <w:ind w:firstLine="480" w:firstLineChars="200"/>
        <w:rPr>
          <w:rFonts w:ascii="宋体" w:hAnsi="宋体" w:cs="宋体"/>
          <w:sz w:val="24"/>
        </w:rPr>
      </w:pPr>
      <w:r>
        <w:rPr>
          <w:rFonts w:hint="eastAsia" w:ascii="宋体" w:hAnsi="宋体" w:cs="宋体"/>
          <w:sz w:val="24"/>
        </w:rPr>
        <w:t>成立以二级学院院长、教研室主任等组成的</w:t>
      </w:r>
      <w:r>
        <w:rPr>
          <w:rFonts w:hint="eastAsia" w:ascii="宋体" w:hAnsi="宋体" w:cs="宋体"/>
          <w:sz w:val="24"/>
          <w:lang w:val="en-US" w:eastAsia="zh-CN"/>
        </w:rPr>
        <w:t>财经商贸</w:t>
      </w:r>
      <w:r>
        <w:rPr>
          <w:rFonts w:hint="eastAsia" w:ascii="宋体" w:hAnsi="宋体" w:cs="宋体"/>
          <w:sz w:val="24"/>
        </w:rPr>
        <w:t>学院教学管理小组</w:t>
      </w:r>
      <w:r>
        <w:rPr>
          <w:rFonts w:hint="eastAsia" w:ascii="宋体" w:hAnsi="宋体" w:cs="宋体"/>
          <w:sz w:val="24"/>
          <w:lang w:val="en-US" w:eastAsia="zh-CN"/>
        </w:rPr>
        <w:t>进行</w:t>
      </w:r>
      <w:r>
        <w:rPr>
          <w:rFonts w:hint="eastAsia" w:ascii="宋体" w:hAnsi="宋体" w:cs="宋体"/>
          <w:sz w:val="24"/>
        </w:rPr>
        <w:t>专业教学质量监控管理</w:t>
      </w:r>
      <w:r>
        <w:rPr>
          <w:rFonts w:hint="eastAsia" w:ascii="宋体" w:hAnsi="宋体" w:cs="宋体"/>
          <w:sz w:val="24"/>
          <w:lang w:eastAsia="zh-CN"/>
        </w:rPr>
        <w:t>，</w:t>
      </w:r>
      <w:r>
        <w:rPr>
          <w:rFonts w:hint="eastAsia" w:ascii="宋体" w:hAnsi="宋体" w:cs="宋体"/>
          <w:sz w:val="24"/>
        </w:rPr>
        <w:t>改进结果评价</w:t>
      </w:r>
      <w:r>
        <w:rPr>
          <w:rFonts w:hint="eastAsia" w:ascii="宋体" w:hAnsi="宋体" w:cs="宋体"/>
          <w:sz w:val="24"/>
          <w:lang w:eastAsia="zh-CN"/>
        </w:rPr>
        <w:t>，</w:t>
      </w:r>
      <w:r>
        <w:rPr>
          <w:rFonts w:hint="eastAsia" w:ascii="宋体" w:hAnsi="宋体" w:cs="宋体"/>
          <w:sz w:val="24"/>
        </w:rPr>
        <w:t>强化过程评价，探索增值评价</w:t>
      </w:r>
      <w:r>
        <w:rPr>
          <w:rFonts w:hint="eastAsia" w:ascii="宋体" w:hAnsi="宋体" w:cs="宋体"/>
          <w:sz w:val="24"/>
          <w:lang w:eastAsia="zh-CN"/>
        </w:rPr>
        <w:t>，</w:t>
      </w:r>
      <w:r>
        <w:rPr>
          <w:rFonts w:hint="eastAsia" w:ascii="宋体" w:hAnsi="宋体" w:cs="宋体"/>
          <w:sz w:val="24"/>
        </w:rPr>
        <w:t>吸纳行业组织、企业等参与评价</w:t>
      </w:r>
      <w:r>
        <w:rPr>
          <w:rFonts w:hint="eastAsia" w:ascii="宋体" w:hAnsi="宋体" w:cs="宋体"/>
          <w:sz w:val="24"/>
          <w:lang w:val="en-US" w:eastAsia="zh-CN"/>
        </w:rPr>
        <w:t>,</w:t>
      </w:r>
      <w:r>
        <w:rPr>
          <w:rFonts w:hint="eastAsia" w:ascii="宋体" w:hAnsi="宋体" w:cs="宋体"/>
          <w:sz w:val="24"/>
        </w:rPr>
        <w:t>并及时公开相关信息</w:t>
      </w:r>
      <w:r>
        <w:rPr>
          <w:rFonts w:hint="eastAsia" w:ascii="宋体" w:hAnsi="宋体" w:cs="宋体"/>
          <w:sz w:val="24"/>
          <w:lang w:eastAsia="zh-CN"/>
        </w:rPr>
        <w:t>，</w:t>
      </w:r>
      <w:r>
        <w:rPr>
          <w:rFonts w:hint="eastAsia" w:ascii="宋体" w:hAnsi="宋体" w:cs="宋体"/>
          <w:sz w:val="24"/>
        </w:rPr>
        <w:t>接受教育督导和社会监督，健全综合评价。完善人才培养方案、课程标准、课堂评价、实验教学、实习实训、毕业设计以及资源建设等质量保障建设，通过教学实施</w:t>
      </w:r>
      <w:r>
        <w:rPr>
          <w:rFonts w:hint="eastAsia" w:ascii="宋体" w:hAnsi="宋体" w:cs="宋体"/>
          <w:sz w:val="24"/>
          <w:lang w:eastAsia="zh-CN"/>
        </w:rPr>
        <w:t>、</w:t>
      </w:r>
      <w:r>
        <w:rPr>
          <w:rFonts w:hint="eastAsia" w:ascii="宋体" w:hAnsi="宋体" w:cs="宋体"/>
          <w:sz w:val="24"/>
        </w:rPr>
        <w:t>过程监控、质量评价和持续改进，达到人才培养规格要求。</w:t>
      </w:r>
    </w:p>
    <w:p w14:paraId="290061F8">
      <w:pPr>
        <w:spacing w:line="480" w:lineRule="exact"/>
        <w:ind w:firstLine="480" w:firstLineChars="200"/>
        <w:rPr>
          <w:rFonts w:ascii="宋体" w:hAnsi="宋体" w:cs="宋体"/>
          <w:sz w:val="24"/>
        </w:rPr>
      </w:pPr>
      <w:r>
        <w:rPr>
          <w:rFonts w:hint="eastAsia" w:ascii="宋体" w:hAnsi="宋体" w:cs="宋体"/>
          <w:sz w:val="24"/>
        </w:rPr>
        <w:t>2.制定和执行质量保障与监控制度</w:t>
      </w:r>
    </w:p>
    <w:p w14:paraId="0EBB231D">
      <w:pPr>
        <w:spacing w:line="480" w:lineRule="exact"/>
        <w:ind w:firstLine="480" w:firstLineChars="200"/>
        <w:rPr>
          <w:rFonts w:ascii="宋体" w:hAnsi="宋体" w:cs="宋体"/>
          <w:sz w:val="24"/>
        </w:rPr>
      </w:pPr>
      <w:r>
        <w:rPr>
          <w:rFonts w:hint="eastAsia" w:ascii="宋体" w:hAnsi="宋体" w:cs="宋体"/>
          <w:sz w:val="24"/>
        </w:rPr>
        <w:t>制定和执行听课制度、教学值班制度、教学事故责任追究制度、教学质量评价办法、教师开新课试讲制度、校内生产性实训标准、校外岗位实习标准、岗位实习管理制度、教师课堂教学达标方案等。加强日常教学组织运行与管理，定期开展课程建设、日常教学、人才培养质量的诊断与改进</w:t>
      </w:r>
      <w:r>
        <w:rPr>
          <w:rFonts w:hint="eastAsia" w:ascii="宋体" w:hAnsi="宋体" w:cs="宋体"/>
          <w:sz w:val="24"/>
          <w:lang w:eastAsia="zh-CN"/>
        </w:rPr>
        <w:t>，</w:t>
      </w:r>
      <w:r>
        <w:rPr>
          <w:rFonts w:hint="eastAsia" w:ascii="宋体" w:hAnsi="宋体" w:cs="宋体"/>
          <w:sz w:val="24"/>
        </w:rPr>
        <w:t>建立健全巡课、听课、评教、评学等制度，建立与企业联动的实践教学环节督导制度</w:t>
      </w:r>
      <w:r>
        <w:rPr>
          <w:rFonts w:hint="eastAsia" w:ascii="宋体" w:hAnsi="宋体" w:cs="宋体"/>
          <w:sz w:val="24"/>
          <w:lang w:eastAsia="zh-CN"/>
        </w:rPr>
        <w:t>，</w:t>
      </w:r>
      <w:r>
        <w:rPr>
          <w:rFonts w:hint="eastAsia" w:ascii="宋体" w:hAnsi="宋体" w:cs="宋体"/>
          <w:sz w:val="24"/>
        </w:rPr>
        <w:t>严明教学纪律，强化教学组织功能，定期开展公开课、示范课等教研活动。</w:t>
      </w:r>
    </w:p>
    <w:p w14:paraId="3C3ED5F8">
      <w:pPr>
        <w:spacing w:line="480" w:lineRule="exact"/>
        <w:ind w:firstLine="480" w:firstLineChars="200"/>
        <w:rPr>
          <w:rFonts w:ascii="宋体" w:hAnsi="宋体" w:cs="宋体"/>
          <w:sz w:val="24"/>
        </w:rPr>
      </w:pPr>
      <w:r>
        <w:rPr>
          <w:rFonts w:hint="eastAsia" w:ascii="宋体" w:hAnsi="宋体" w:cs="宋体"/>
          <w:sz w:val="24"/>
        </w:rPr>
        <w:t>3.教学质量评价体系</w:t>
      </w:r>
    </w:p>
    <w:p w14:paraId="2DA5A5F6">
      <w:pPr>
        <w:spacing w:line="480" w:lineRule="exact"/>
        <w:ind w:firstLine="480" w:firstLineChars="200"/>
        <w:rPr>
          <w:rFonts w:ascii="宋体" w:hAnsi="宋体" w:cs="宋体"/>
          <w:sz w:val="24"/>
        </w:rPr>
      </w:pPr>
      <w:r>
        <w:rPr>
          <w:rFonts w:hint="eastAsia" w:ascii="宋体" w:hAnsi="宋体" w:cs="宋体"/>
          <w:sz w:val="24"/>
        </w:rPr>
        <w:t>教学质量是专业的生命线，加强对学习效果的评价是实现人才培养目标，提高教学质量的重要保证。本专业高度重视质量保证体系建设，在现有办学实践的基础上，积极推进教学管理改革与创新，构建学习效果评价体系。学校应建立毕业生跟踪反馈机制及社会评价机制，并对生源情况、职业道德、技术技能水平、就业质量等进行分析，定期评价人才培养质量和培养目标达成情况。</w:t>
      </w:r>
    </w:p>
    <w:p w14:paraId="6C494128">
      <w:pPr>
        <w:spacing w:line="480" w:lineRule="exact"/>
        <w:ind w:firstLine="480" w:firstLineChars="200"/>
        <w:rPr>
          <w:rFonts w:ascii="黑体" w:hAnsi="黑体" w:eastAsia="黑体"/>
          <w:sz w:val="24"/>
        </w:rPr>
      </w:pPr>
      <w:r>
        <w:rPr>
          <w:rFonts w:hint="eastAsia" w:ascii="黑体" w:hAnsi="黑体" w:eastAsia="黑体"/>
          <w:sz w:val="24"/>
        </w:rPr>
        <w:t>九、毕业要求</w:t>
      </w:r>
    </w:p>
    <w:p w14:paraId="1379C440">
      <w:pPr>
        <w:spacing w:line="480" w:lineRule="exact"/>
        <w:ind w:firstLine="480" w:firstLineChars="200"/>
        <w:rPr>
          <w:rFonts w:hint="eastAsia" w:ascii="宋体" w:hAnsi="宋体" w:cs="宋体"/>
          <w:sz w:val="24"/>
          <w:lang w:val="en-US" w:eastAsia="zh-CN"/>
        </w:rPr>
      </w:pPr>
      <w:r>
        <w:rPr>
          <w:rFonts w:hint="eastAsia" w:ascii="宋体" w:hAnsi="宋体" w:cs="宋体"/>
          <w:sz w:val="24"/>
        </w:rPr>
        <w:t>学生通过规定年限的学习，须修完本专业人才培养方案所规定的所有课程，并且成绩合格，完成规定的教学活动并取得相应的职业资格证书，达到本方案规定的素质、知识和能力等方面要求，准予毕业。</w:t>
      </w:r>
    </w:p>
    <w:p w14:paraId="78F92AAC">
      <w:pPr>
        <w:spacing w:line="480" w:lineRule="exact"/>
        <w:rPr>
          <w:rFonts w:hint="eastAsia"/>
          <w:lang w:val="en-US" w:eastAsia="zh-CN"/>
        </w:rPr>
      </w:pPr>
      <w:r>
        <w:rPr>
          <w:rFonts w:hint="eastAsia" w:ascii="宋体" w:hAnsi="宋体" w:cs="宋体"/>
          <w:sz w:val="24"/>
          <w:lang w:val="en-US" w:eastAsia="zh-CN"/>
        </w:rPr>
        <w:tab/>
      </w:r>
    </w:p>
    <w:p w14:paraId="395C399C">
      <w:pPr>
        <w:tabs>
          <w:tab w:val="left" w:pos="608"/>
        </w:tabs>
        <w:bidi w:val="0"/>
        <w:jc w:val="left"/>
        <w:rPr>
          <w:rFonts w:hint="eastAsia"/>
          <w:lang w:val="en-US" w:eastAsia="zh-CN"/>
        </w:rPr>
      </w:pPr>
    </w:p>
    <w:p w14:paraId="1B9DC53C">
      <w:pPr>
        <w:tabs>
          <w:tab w:val="left" w:pos="608"/>
        </w:tabs>
        <w:bidi w:val="0"/>
        <w:jc w:val="left"/>
        <w:rPr>
          <w:rFonts w:hint="eastAsia"/>
          <w:lang w:val="en-US" w:eastAsia="zh-CN"/>
        </w:rPr>
      </w:pPr>
    </w:p>
    <w:p w14:paraId="781A0E0A">
      <w:pPr>
        <w:tabs>
          <w:tab w:val="left" w:pos="608"/>
        </w:tabs>
        <w:bidi w:val="0"/>
        <w:jc w:val="left"/>
        <w:rPr>
          <w:rFonts w:hint="eastAsia"/>
          <w:lang w:val="en-US" w:eastAsia="zh-CN"/>
        </w:rPr>
      </w:pPr>
    </w:p>
    <w:p w14:paraId="4A6F639E">
      <w:pPr>
        <w:tabs>
          <w:tab w:val="left" w:pos="608"/>
        </w:tabs>
        <w:bidi w:val="0"/>
        <w:jc w:val="left"/>
        <w:rPr>
          <w:rFonts w:hint="eastAsia"/>
          <w:lang w:val="en-US" w:eastAsia="zh-CN"/>
        </w:rPr>
      </w:pPr>
    </w:p>
    <w:p w14:paraId="2F8FCB1A">
      <w:pPr>
        <w:tabs>
          <w:tab w:val="left" w:pos="608"/>
        </w:tabs>
        <w:bidi w:val="0"/>
        <w:jc w:val="left"/>
        <w:rPr>
          <w:rFonts w:hint="eastAsia"/>
          <w:lang w:val="en-US" w:eastAsia="zh-CN"/>
        </w:rPr>
      </w:pPr>
    </w:p>
    <w:p w14:paraId="6FF6795C">
      <w:pPr>
        <w:tabs>
          <w:tab w:val="left" w:pos="608"/>
        </w:tabs>
        <w:bidi w:val="0"/>
        <w:jc w:val="left"/>
        <w:rPr>
          <w:rFonts w:hint="eastAsia"/>
          <w:lang w:val="en-US" w:eastAsia="zh-CN"/>
        </w:rPr>
      </w:pPr>
    </w:p>
    <w:p w14:paraId="31CE0D6B">
      <w:pPr>
        <w:tabs>
          <w:tab w:val="left" w:pos="608"/>
        </w:tabs>
        <w:bidi w:val="0"/>
        <w:jc w:val="left"/>
        <w:rPr>
          <w:rFonts w:hint="eastAsia"/>
          <w:lang w:val="en-US" w:eastAsia="zh-CN"/>
        </w:rPr>
      </w:pPr>
    </w:p>
    <w:p w14:paraId="09296085">
      <w:pPr>
        <w:tabs>
          <w:tab w:val="left" w:pos="608"/>
        </w:tabs>
        <w:bidi w:val="0"/>
        <w:jc w:val="left"/>
        <w:rPr>
          <w:rFonts w:hint="eastAsia"/>
          <w:lang w:val="en-US" w:eastAsia="zh-CN"/>
        </w:rPr>
      </w:pPr>
    </w:p>
    <w:p w14:paraId="03A37F6C">
      <w:pPr>
        <w:tabs>
          <w:tab w:val="left" w:pos="608"/>
        </w:tabs>
        <w:bidi w:val="0"/>
        <w:jc w:val="left"/>
        <w:rPr>
          <w:rFonts w:hint="eastAsia"/>
          <w:lang w:val="en-US" w:eastAsia="zh-CN"/>
        </w:rPr>
      </w:pPr>
    </w:p>
    <w:p w14:paraId="0065F4DB">
      <w:pPr>
        <w:tabs>
          <w:tab w:val="left" w:pos="608"/>
        </w:tabs>
        <w:bidi w:val="0"/>
        <w:jc w:val="left"/>
        <w:rPr>
          <w:rFonts w:hint="eastAsia"/>
          <w:lang w:val="en-US" w:eastAsia="zh-CN"/>
        </w:rPr>
      </w:pPr>
    </w:p>
    <w:p w14:paraId="379741C2">
      <w:pPr>
        <w:tabs>
          <w:tab w:val="left" w:pos="608"/>
        </w:tabs>
        <w:bidi w:val="0"/>
        <w:jc w:val="left"/>
        <w:rPr>
          <w:rFonts w:hint="eastAsia"/>
          <w:lang w:val="en-US" w:eastAsia="zh-CN"/>
        </w:rPr>
      </w:pPr>
    </w:p>
    <w:p w14:paraId="15FCC1C1">
      <w:pPr>
        <w:tabs>
          <w:tab w:val="left" w:pos="608"/>
        </w:tabs>
        <w:bidi w:val="0"/>
        <w:jc w:val="left"/>
        <w:rPr>
          <w:rFonts w:hint="eastAsia"/>
          <w:lang w:val="en-US" w:eastAsia="zh-CN"/>
        </w:rPr>
      </w:pPr>
    </w:p>
    <w:p w14:paraId="4153047F">
      <w:pPr>
        <w:tabs>
          <w:tab w:val="left" w:pos="608"/>
        </w:tabs>
        <w:bidi w:val="0"/>
        <w:jc w:val="left"/>
        <w:rPr>
          <w:rFonts w:hint="eastAsia"/>
          <w:lang w:val="en-US" w:eastAsia="zh-CN"/>
        </w:rPr>
      </w:pPr>
    </w:p>
    <w:p w14:paraId="4903A69E">
      <w:pPr>
        <w:tabs>
          <w:tab w:val="left" w:pos="608"/>
        </w:tabs>
        <w:bidi w:val="0"/>
        <w:jc w:val="left"/>
        <w:rPr>
          <w:rFonts w:hint="eastAsia"/>
          <w:lang w:val="en-US" w:eastAsia="zh-CN"/>
        </w:rPr>
      </w:pPr>
    </w:p>
    <w:p w14:paraId="584D4829">
      <w:pPr>
        <w:tabs>
          <w:tab w:val="left" w:pos="608"/>
        </w:tabs>
        <w:bidi w:val="0"/>
        <w:jc w:val="left"/>
        <w:rPr>
          <w:rFonts w:hint="eastAsia"/>
          <w:lang w:val="en-US" w:eastAsia="zh-CN"/>
        </w:rPr>
      </w:pPr>
    </w:p>
    <w:p w14:paraId="6E5C2C15">
      <w:pPr>
        <w:tabs>
          <w:tab w:val="left" w:pos="608"/>
        </w:tabs>
        <w:bidi w:val="0"/>
        <w:jc w:val="left"/>
        <w:rPr>
          <w:rFonts w:hint="eastAsia"/>
          <w:lang w:val="en-US" w:eastAsia="zh-CN"/>
        </w:rPr>
      </w:pPr>
    </w:p>
    <w:p w14:paraId="263CBC41">
      <w:pPr>
        <w:tabs>
          <w:tab w:val="left" w:pos="608"/>
        </w:tabs>
        <w:bidi w:val="0"/>
        <w:jc w:val="left"/>
        <w:rPr>
          <w:rFonts w:hint="eastAsia"/>
          <w:lang w:val="en-US" w:eastAsia="zh-CN"/>
        </w:rPr>
      </w:pPr>
    </w:p>
    <w:p w14:paraId="40A5B4C4">
      <w:pPr>
        <w:tabs>
          <w:tab w:val="left" w:pos="608"/>
        </w:tabs>
        <w:bidi w:val="0"/>
        <w:jc w:val="left"/>
        <w:rPr>
          <w:rFonts w:hint="eastAsia"/>
          <w:lang w:val="en-US" w:eastAsia="zh-CN"/>
        </w:rPr>
      </w:pPr>
    </w:p>
    <w:p w14:paraId="5FCE482D">
      <w:pPr>
        <w:tabs>
          <w:tab w:val="left" w:pos="608"/>
        </w:tabs>
        <w:bidi w:val="0"/>
        <w:jc w:val="left"/>
        <w:rPr>
          <w:rFonts w:hint="eastAsia"/>
          <w:lang w:val="en-US" w:eastAsia="zh-CN"/>
        </w:rPr>
      </w:pPr>
    </w:p>
    <w:p w14:paraId="031171F0">
      <w:pPr>
        <w:tabs>
          <w:tab w:val="left" w:pos="608"/>
        </w:tabs>
        <w:bidi w:val="0"/>
        <w:jc w:val="left"/>
        <w:rPr>
          <w:rFonts w:hint="eastAsia"/>
          <w:lang w:val="en-US" w:eastAsia="zh-CN"/>
        </w:rPr>
      </w:pPr>
    </w:p>
    <w:p w14:paraId="1941EFAF">
      <w:pPr>
        <w:tabs>
          <w:tab w:val="left" w:pos="608"/>
        </w:tabs>
        <w:bidi w:val="0"/>
        <w:jc w:val="left"/>
        <w:rPr>
          <w:rFonts w:hint="eastAsia"/>
          <w:lang w:val="en-US" w:eastAsia="zh-CN"/>
        </w:rPr>
      </w:pPr>
    </w:p>
    <w:p w14:paraId="654DE1FA">
      <w:pPr>
        <w:tabs>
          <w:tab w:val="left" w:pos="608"/>
        </w:tabs>
        <w:bidi w:val="0"/>
        <w:jc w:val="left"/>
        <w:rPr>
          <w:rFonts w:hint="eastAsia"/>
          <w:lang w:val="en-US" w:eastAsia="zh-CN"/>
        </w:rPr>
      </w:pPr>
    </w:p>
    <w:p w14:paraId="6C6D817B">
      <w:pPr>
        <w:tabs>
          <w:tab w:val="left" w:pos="608"/>
        </w:tabs>
        <w:bidi w:val="0"/>
        <w:jc w:val="left"/>
        <w:rPr>
          <w:rFonts w:hint="eastAsia"/>
          <w:lang w:val="en-US" w:eastAsia="zh-CN"/>
        </w:rPr>
      </w:pPr>
    </w:p>
    <w:p w14:paraId="100A398E">
      <w:pPr>
        <w:tabs>
          <w:tab w:val="left" w:pos="608"/>
        </w:tabs>
        <w:bidi w:val="0"/>
        <w:jc w:val="left"/>
        <w:rPr>
          <w:rFonts w:hint="eastAsia"/>
          <w:lang w:val="en-US" w:eastAsia="zh-CN"/>
        </w:rPr>
      </w:pPr>
    </w:p>
    <w:p w14:paraId="17EF13F2">
      <w:pPr>
        <w:tabs>
          <w:tab w:val="left" w:pos="608"/>
        </w:tabs>
        <w:bidi w:val="0"/>
        <w:jc w:val="left"/>
        <w:rPr>
          <w:rFonts w:hint="eastAsia"/>
          <w:lang w:val="en-US" w:eastAsia="zh-CN"/>
        </w:rPr>
      </w:pPr>
    </w:p>
    <w:p w14:paraId="2819A96A">
      <w:pPr>
        <w:tabs>
          <w:tab w:val="left" w:pos="608"/>
        </w:tabs>
        <w:bidi w:val="0"/>
        <w:jc w:val="left"/>
        <w:rPr>
          <w:rFonts w:hint="eastAsia"/>
          <w:lang w:val="en-US" w:eastAsia="zh-CN"/>
        </w:rPr>
      </w:pPr>
    </w:p>
    <w:p w14:paraId="78233D97">
      <w:pPr>
        <w:tabs>
          <w:tab w:val="left" w:pos="608"/>
        </w:tabs>
        <w:bidi w:val="0"/>
        <w:jc w:val="left"/>
        <w:rPr>
          <w:rFonts w:hint="eastAsia"/>
          <w:lang w:val="en-US" w:eastAsia="zh-CN"/>
        </w:rPr>
      </w:pPr>
    </w:p>
    <w:p w14:paraId="6EC02FDB">
      <w:pPr>
        <w:tabs>
          <w:tab w:val="left" w:pos="608"/>
        </w:tabs>
        <w:bidi w:val="0"/>
        <w:jc w:val="left"/>
        <w:rPr>
          <w:rFonts w:hint="eastAsia"/>
          <w:lang w:val="en-US" w:eastAsia="zh-CN"/>
        </w:rPr>
      </w:pPr>
    </w:p>
    <w:p w14:paraId="5CEADBAC">
      <w:pPr>
        <w:tabs>
          <w:tab w:val="left" w:pos="608"/>
        </w:tabs>
        <w:bidi w:val="0"/>
        <w:jc w:val="left"/>
        <w:rPr>
          <w:rFonts w:hint="eastAsia"/>
          <w:lang w:val="en-US" w:eastAsia="zh-CN"/>
        </w:rPr>
      </w:pPr>
    </w:p>
    <w:p w14:paraId="6356D643">
      <w:pPr>
        <w:tabs>
          <w:tab w:val="left" w:pos="608"/>
        </w:tabs>
        <w:bidi w:val="0"/>
        <w:jc w:val="left"/>
        <w:rPr>
          <w:rFonts w:hint="eastAsia"/>
          <w:lang w:val="en-US" w:eastAsia="zh-CN"/>
        </w:rPr>
      </w:pPr>
    </w:p>
    <w:p w14:paraId="4E1C0A1A">
      <w:pPr>
        <w:tabs>
          <w:tab w:val="left" w:pos="608"/>
        </w:tabs>
        <w:bidi w:val="0"/>
        <w:jc w:val="left"/>
        <w:rPr>
          <w:rFonts w:hint="eastAsia"/>
          <w:lang w:val="en-US" w:eastAsia="zh-CN"/>
        </w:rPr>
      </w:pPr>
    </w:p>
    <w:p w14:paraId="34976032">
      <w:pPr>
        <w:tabs>
          <w:tab w:val="left" w:pos="608"/>
        </w:tabs>
        <w:bidi w:val="0"/>
        <w:jc w:val="left"/>
        <w:rPr>
          <w:rFonts w:hint="eastAsia"/>
          <w:lang w:val="en-US" w:eastAsia="zh-CN"/>
        </w:rPr>
      </w:pPr>
    </w:p>
    <w:p w14:paraId="790E6528">
      <w:pPr>
        <w:tabs>
          <w:tab w:val="left" w:pos="608"/>
        </w:tabs>
        <w:bidi w:val="0"/>
        <w:jc w:val="left"/>
        <w:rPr>
          <w:rFonts w:hint="eastAsia"/>
          <w:lang w:val="en-US" w:eastAsia="zh-CN"/>
        </w:rPr>
      </w:pPr>
    </w:p>
    <w:p w14:paraId="5FC7F50F">
      <w:pPr>
        <w:tabs>
          <w:tab w:val="left" w:pos="608"/>
        </w:tabs>
        <w:bidi w:val="0"/>
        <w:jc w:val="left"/>
        <w:rPr>
          <w:rFonts w:hint="eastAsia"/>
          <w:lang w:val="en-US" w:eastAsia="zh-CN"/>
        </w:rPr>
      </w:pPr>
    </w:p>
    <w:p w14:paraId="2EEC8136">
      <w:pPr>
        <w:tabs>
          <w:tab w:val="left" w:pos="608"/>
        </w:tabs>
        <w:bidi w:val="0"/>
        <w:jc w:val="left"/>
        <w:rPr>
          <w:rFonts w:hint="eastAsia"/>
          <w:lang w:val="en-US" w:eastAsia="zh-CN"/>
        </w:rPr>
      </w:pPr>
    </w:p>
    <w:p w14:paraId="42A58D71">
      <w:pPr>
        <w:tabs>
          <w:tab w:val="left" w:pos="608"/>
        </w:tabs>
        <w:bidi w:val="0"/>
        <w:jc w:val="left"/>
        <w:rPr>
          <w:rFonts w:hint="eastAsia"/>
          <w:lang w:val="en-US" w:eastAsia="zh-CN"/>
        </w:rPr>
      </w:pPr>
    </w:p>
    <w:p w14:paraId="58ECAF4D">
      <w:pPr>
        <w:tabs>
          <w:tab w:val="left" w:pos="608"/>
        </w:tabs>
        <w:bidi w:val="0"/>
        <w:jc w:val="left"/>
        <w:rPr>
          <w:rFonts w:hint="eastAsia"/>
          <w:lang w:val="en-US" w:eastAsia="zh-CN"/>
        </w:rPr>
      </w:pPr>
    </w:p>
    <w:p w14:paraId="739A5E4B">
      <w:pPr>
        <w:tabs>
          <w:tab w:val="left" w:pos="608"/>
        </w:tabs>
        <w:bidi w:val="0"/>
        <w:jc w:val="left"/>
        <w:rPr>
          <w:rFonts w:hint="eastAsia" w:ascii="宋体" w:hAnsi="宋体" w:cs="宋体"/>
          <w:sz w:val="24"/>
          <w:lang w:val="en-US" w:eastAsia="zh-CN"/>
        </w:rPr>
      </w:pPr>
    </w:p>
    <w:p w14:paraId="37CF80CF">
      <w:pPr>
        <w:tabs>
          <w:tab w:val="left" w:pos="608"/>
        </w:tabs>
        <w:bidi w:val="0"/>
        <w:jc w:val="left"/>
        <w:rPr>
          <w:rFonts w:hint="eastAsia" w:ascii="宋体" w:hAnsi="宋体" w:cs="宋体"/>
          <w:sz w:val="24"/>
          <w:lang w:val="en-US" w:eastAsia="zh-CN"/>
        </w:rPr>
      </w:pPr>
    </w:p>
    <w:p w14:paraId="769E7DAE">
      <w:pPr>
        <w:tabs>
          <w:tab w:val="left" w:pos="608"/>
        </w:tabs>
        <w:bidi w:val="0"/>
        <w:jc w:val="left"/>
        <w:rPr>
          <w:rFonts w:hint="eastAsia" w:ascii="宋体" w:hAnsi="宋体" w:cs="宋体"/>
          <w:sz w:val="24"/>
          <w:lang w:val="en-US" w:eastAsia="zh-CN"/>
        </w:rPr>
      </w:pPr>
      <w:r>
        <w:rPr>
          <w:rFonts w:hint="eastAsia" w:ascii="宋体" w:hAnsi="宋体" w:cs="宋体"/>
          <w:sz w:val="24"/>
          <w:lang w:val="en-US" w:eastAsia="zh-CN"/>
        </w:rPr>
        <w:t>附录：</w:t>
      </w:r>
    </w:p>
    <w:p w14:paraId="10909E9D">
      <w:pPr>
        <w:tabs>
          <w:tab w:val="left" w:pos="608"/>
        </w:tabs>
        <w:bidi w:val="0"/>
        <w:jc w:val="left"/>
        <w:rPr>
          <w:rFonts w:hint="eastAsia" w:ascii="宋体" w:hAnsi="宋体" w:cs="宋体"/>
          <w:sz w:val="24"/>
          <w:lang w:val="en-US" w:eastAsia="zh-CN"/>
        </w:rPr>
      </w:pPr>
    </w:p>
    <w:p w14:paraId="5CC6CA90">
      <w:pPr>
        <w:tabs>
          <w:tab w:val="left" w:pos="608"/>
        </w:tabs>
        <w:bidi w:val="0"/>
        <w:jc w:val="left"/>
        <w:rPr>
          <w:rFonts w:hint="default"/>
          <w:lang w:val="en-US" w:eastAsia="zh-CN"/>
        </w:rPr>
      </w:pPr>
      <w:r>
        <w:rPr>
          <w:rFonts w:hint="eastAsia" w:ascii="宋体" w:hAnsi="宋体" w:eastAsia="宋体" w:cs="宋体"/>
          <w:sz w:val="44"/>
          <w:szCs w:val="44"/>
          <w:lang w:val="en-US" w:eastAsia="zh-CN"/>
        </w:rPr>
        <w:drawing>
          <wp:inline distT="0" distB="0" distL="114300" distR="114300">
            <wp:extent cx="5688965" cy="8317865"/>
            <wp:effectExtent l="0" t="0" r="6985" b="6985"/>
            <wp:docPr id="2" name="图片 2" descr="729c40e733e25e74fb50c50f24d5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29c40e733e25e74fb50c50f24d5ee0"/>
                    <pic:cNvPicPr>
                      <a:picLocks noChangeAspect="1"/>
                    </pic:cNvPicPr>
                  </pic:nvPicPr>
                  <pic:blipFill>
                    <a:blip r:embed="rId7"/>
                    <a:stretch>
                      <a:fillRect/>
                    </a:stretch>
                  </pic:blipFill>
                  <pic:spPr>
                    <a:xfrm>
                      <a:off x="0" y="0"/>
                      <a:ext cx="5688965" cy="8317865"/>
                    </a:xfrm>
                    <a:prstGeom prst="rect">
                      <a:avLst/>
                    </a:prstGeom>
                  </pic:spPr>
                </pic:pic>
              </a:graphicData>
            </a:graphic>
          </wp:inline>
        </w:drawing>
      </w:r>
    </w:p>
    <w:sectPr>
      <w:footerReference r:id="rId5" w:type="first"/>
      <w:footerReference r:id="rId4" w:type="default"/>
      <w:pgSz w:w="11906" w:h="16838"/>
      <w:pgMar w:top="1418" w:right="1418" w:bottom="1134" w:left="1418" w:header="851" w:footer="794" w:gutter="0"/>
      <w:pgNumType w:start="1"/>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Songti SC">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宋体">
    <w:panose1 w:val="02010600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16E75">
    <w:pPr>
      <w:framePr w:wrap="around" w:vAnchor="text" w:hAnchor="margin" w:xAlign="center" w:y="1"/>
      <w:rPr>
        <w:rStyle w:val="13"/>
      </w:rPr>
    </w:pPr>
    <w:r>
      <w:fldChar w:fldCharType="begin"/>
    </w:r>
    <w:r>
      <w:rPr>
        <w:rStyle w:val="13"/>
      </w:rPr>
      <w:instrText xml:space="preserve">PAGE  </w:instrText>
    </w:r>
    <w:r>
      <w:fldChar w:fldCharType="end"/>
    </w:r>
  </w:p>
  <w:p w14:paraId="13C748D6">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0403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7D79D1">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27D79D1">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BE4E2">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EC0B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CCEC0B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7490E2"/>
    <w:multiLevelType w:val="singleLevel"/>
    <w:tmpl w:val="DD7490E2"/>
    <w:lvl w:ilvl="0" w:tentative="0">
      <w:start w:val="3"/>
      <w:numFmt w:val="chineseCounting"/>
      <w:suff w:val="nothing"/>
      <w:lvlText w:val="（%1）"/>
      <w:lvlJc w:val="left"/>
      <w:rPr>
        <w:rFonts w:hint="eastAsia"/>
      </w:rPr>
    </w:lvl>
  </w:abstractNum>
  <w:abstractNum w:abstractNumId="1">
    <w:nsid w:val="3904B7BA"/>
    <w:multiLevelType w:val="singleLevel"/>
    <w:tmpl w:val="3904B7BA"/>
    <w:lvl w:ilvl="0" w:tentative="0">
      <w:start w:val="2"/>
      <w:numFmt w:val="chineseCounting"/>
      <w:suff w:val="nothing"/>
      <w:lvlText w:val="（%1）"/>
      <w:lvlJc w:val="left"/>
      <w:rPr>
        <w:rFonts w:hint="eastAsia"/>
      </w:rPr>
    </w:lvl>
  </w:abstractNum>
  <w:abstractNum w:abstractNumId="2">
    <w:nsid w:val="7E09D232"/>
    <w:multiLevelType w:val="singleLevel"/>
    <w:tmpl w:val="7E09D232"/>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6F"/>
    <w:rsid w:val="00003E20"/>
    <w:rsid w:val="00007DF5"/>
    <w:rsid w:val="000218A6"/>
    <w:rsid w:val="00030156"/>
    <w:rsid w:val="00041291"/>
    <w:rsid w:val="000462A8"/>
    <w:rsid w:val="0005434E"/>
    <w:rsid w:val="00067F44"/>
    <w:rsid w:val="00090379"/>
    <w:rsid w:val="0009551D"/>
    <w:rsid w:val="000A02F7"/>
    <w:rsid w:val="000B2518"/>
    <w:rsid w:val="000C2C75"/>
    <w:rsid w:val="000C51BE"/>
    <w:rsid w:val="000D695B"/>
    <w:rsid w:val="000D6AE0"/>
    <w:rsid w:val="000D7661"/>
    <w:rsid w:val="000E3711"/>
    <w:rsid w:val="000F7C88"/>
    <w:rsid w:val="0010198B"/>
    <w:rsid w:val="001026D0"/>
    <w:rsid w:val="00106C41"/>
    <w:rsid w:val="0010720F"/>
    <w:rsid w:val="00132C48"/>
    <w:rsid w:val="00133BB0"/>
    <w:rsid w:val="00134DED"/>
    <w:rsid w:val="0014709D"/>
    <w:rsid w:val="00152030"/>
    <w:rsid w:val="00163451"/>
    <w:rsid w:val="0016473A"/>
    <w:rsid w:val="00180FC0"/>
    <w:rsid w:val="001810D9"/>
    <w:rsid w:val="00185CA8"/>
    <w:rsid w:val="001928BF"/>
    <w:rsid w:val="00193C6A"/>
    <w:rsid w:val="00194B9E"/>
    <w:rsid w:val="001A1602"/>
    <w:rsid w:val="001A291C"/>
    <w:rsid w:val="001A3D57"/>
    <w:rsid w:val="001F202B"/>
    <w:rsid w:val="001F6E99"/>
    <w:rsid w:val="00200506"/>
    <w:rsid w:val="002105DC"/>
    <w:rsid w:val="002108A6"/>
    <w:rsid w:val="00237F41"/>
    <w:rsid w:val="00246B28"/>
    <w:rsid w:val="00260D14"/>
    <w:rsid w:val="00271322"/>
    <w:rsid w:val="002715FA"/>
    <w:rsid w:val="00274249"/>
    <w:rsid w:val="00283338"/>
    <w:rsid w:val="00286E6D"/>
    <w:rsid w:val="002870A2"/>
    <w:rsid w:val="002A2B46"/>
    <w:rsid w:val="002A3107"/>
    <w:rsid w:val="002B1FB0"/>
    <w:rsid w:val="002B2B58"/>
    <w:rsid w:val="002B56A1"/>
    <w:rsid w:val="002B6249"/>
    <w:rsid w:val="002C0A99"/>
    <w:rsid w:val="002C2408"/>
    <w:rsid w:val="002C6673"/>
    <w:rsid w:val="002D3F90"/>
    <w:rsid w:val="002D5905"/>
    <w:rsid w:val="002E046B"/>
    <w:rsid w:val="002F48E0"/>
    <w:rsid w:val="00302958"/>
    <w:rsid w:val="0030474D"/>
    <w:rsid w:val="00315AD3"/>
    <w:rsid w:val="00316941"/>
    <w:rsid w:val="00324141"/>
    <w:rsid w:val="003446A6"/>
    <w:rsid w:val="003509D8"/>
    <w:rsid w:val="00352280"/>
    <w:rsid w:val="00352367"/>
    <w:rsid w:val="00363B61"/>
    <w:rsid w:val="00377A93"/>
    <w:rsid w:val="0039080A"/>
    <w:rsid w:val="00396540"/>
    <w:rsid w:val="003A557E"/>
    <w:rsid w:val="003A626D"/>
    <w:rsid w:val="003A796F"/>
    <w:rsid w:val="003B6D01"/>
    <w:rsid w:val="003C6D06"/>
    <w:rsid w:val="003E2488"/>
    <w:rsid w:val="00400042"/>
    <w:rsid w:val="00413223"/>
    <w:rsid w:val="00421782"/>
    <w:rsid w:val="00422D32"/>
    <w:rsid w:val="004231B4"/>
    <w:rsid w:val="004377FC"/>
    <w:rsid w:val="004500E2"/>
    <w:rsid w:val="00465960"/>
    <w:rsid w:val="00466DCD"/>
    <w:rsid w:val="00466E0C"/>
    <w:rsid w:val="0047419A"/>
    <w:rsid w:val="0048670F"/>
    <w:rsid w:val="004A056A"/>
    <w:rsid w:val="004A17FD"/>
    <w:rsid w:val="004A4239"/>
    <w:rsid w:val="004A6B8F"/>
    <w:rsid w:val="004A70C8"/>
    <w:rsid w:val="004A7E37"/>
    <w:rsid w:val="004B0121"/>
    <w:rsid w:val="004B35E9"/>
    <w:rsid w:val="004C3C72"/>
    <w:rsid w:val="004C404D"/>
    <w:rsid w:val="004C6B2B"/>
    <w:rsid w:val="004E029D"/>
    <w:rsid w:val="004F392C"/>
    <w:rsid w:val="00501535"/>
    <w:rsid w:val="00510C51"/>
    <w:rsid w:val="00511BC6"/>
    <w:rsid w:val="0052402D"/>
    <w:rsid w:val="0052553E"/>
    <w:rsid w:val="00527FE9"/>
    <w:rsid w:val="00531E73"/>
    <w:rsid w:val="00532DBA"/>
    <w:rsid w:val="005343B7"/>
    <w:rsid w:val="0054081D"/>
    <w:rsid w:val="005432C3"/>
    <w:rsid w:val="00562C33"/>
    <w:rsid w:val="0057032F"/>
    <w:rsid w:val="005720C4"/>
    <w:rsid w:val="0057314D"/>
    <w:rsid w:val="00573CA3"/>
    <w:rsid w:val="00577455"/>
    <w:rsid w:val="005875D1"/>
    <w:rsid w:val="005A2FA2"/>
    <w:rsid w:val="005B3985"/>
    <w:rsid w:val="005B43A2"/>
    <w:rsid w:val="005C08CF"/>
    <w:rsid w:val="005F0E77"/>
    <w:rsid w:val="005F1FA3"/>
    <w:rsid w:val="006077DC"/>
    <w:rsid w:val="006110F7"/>
    <w:rsid w:val="00613DA4"/>
    <w:rsid w:val="0061506B"/>
    <w:rsid w:val="006236B5"/>
    <w:rsid w:val="0062514E"/>
    <w:rsid w:val="0062792C"/>
    <w:rsid w:val="0063424D"/>
    <w:rsid w:val="0065579A"/>
    <w:rsid w:val="0066195B"/>
    <w:rsid w:val="00661BC7"/>
    <w:rsid w:val="006742AE"/>
    <w:rsid w:val="00680045"/>
    <w:rsid w:val="006B1254"/>
    <w:rsid w:val="006C0A0B"/>
    <w:rsid w:val="006C6B79"/>
    <w:rsid w:val="006D1CF9"/>
    <w:rsid w:val="006D4AAD"/>
    <w:rsid w:val="006D4D77"/>
    <w:rsid w:val="006F001D"/>
    <w:rsid w:val="006F17F3"/>
    <w:rsid w:val="006F4D0E"/>
    <w:rsid w:val="006F6C1D"/>
    <w:rsid w:val="00700715"/>
    <w:rsid w:val="00711C53"/>
    <w:rsid w:val="0072797F"/>
    <w:rsid w:val="007344D8"/>
    <w:rsid w:val="0073591E"/>
    <w:rsid w:val="00753024"/>
    <w:rsid w:val="00754521"/>
    <w:rsid w:val="00755D98"/>
    <w:rsid w:val="00760FF3"/>
    <w:rsid w:val="007706E9"/>
    <w:rsid w:val="007766BC"/>
    <w:rsid w:val="0078396A"/>
    <w:rsid w:val="0079067B"/>
    <w:rsid w:val="007907CD"/>
    <w:rsid w:val="007B2321"/>
    <w:rsid w:val="007B608A"/>
    <w:rsid w:val="007B74F0"/>
    <w:rsid w:val="007C4D2A"/>
    <w:rsid w:val="007E096F"/>
    <w:rsid w:val="007F0354"/>
    <w:rsid w:val="007F7857"/>
    <w:rsid w:val="008233F0"/>
    <w:rsid w:val="0083213C"/>
    <w:rsid w:val="00840439"/>
    <w:rsid w:val="008420A2"/>
    <w:rsid w:val="008444FA"/>
    <w:rsid w:val="00845644"/>
    <w:rsid w:val="00846343"/>
    <w:rsid w:val="00847D52"/>
    <w:rsid w:val="00860025"/>
    <w:rsid w:val="0086678B"/>
    <w:rsid w:val="00895A57"/>
    <w:rsid w:val="00895F37"/>
    <w:rsid w:val="008A311D"/>
    <w:rsid w:val="008B0673"/>
    <w:rsid w:val="008B0A7D"/>
    <w:rsid w:val="008C60CF"/>
    <w:rsid w:val="009071E3"/>
    <w:rsid w:val="0091258A"/>
    <w:rsid w:val="00922CB7"/>
    <w:rsid w:val="00937368"/>
    <w:rsid w:val="00945EFA"/>
    <w:rsid w:val="00950E5D"/>
    <w:rsid w:val="00974423"/>
    <w:rsid w:val="00976714"/>
    <w:rsid w:val="0098174B"/>
    <w:rsid w:val="00982773"/>
    <w:rsid w:val="00996102"/>
    <w:rsid w:val="009969E8"/>
    <w:rsid w:val="009A0E1C"/>
    <w:rsid w:val="009A57CD"/>
    <w:rsid w:val="009B5F43"/>
    <w:rsid w:val="009C1C6E"/>
    <w:rsid w:val="009E4153"/>
    <w:rsid w:val="009E7EF3"/>
    <w:rsid w:val="00A104EE"/>
    <w:rsid w:val="00A20337"/>
    <w:rsid w:val="00A269A1"/>
    <w:rsid w:val="00A26C5B"/>
    <w:rsid w:val="00A36790"/>
    <w:rsid w:val="00A4669F"/>
    <w:rsid w:val="00A55A05"/>
    <w:rsid w:val="00A619CA"/>
    <w:rsid w:val="00A8275B"/>
    <w:rsid w:val="00A9106A"/>
    <w:rsid w:val="00A92C3D"/>
    <w:rsid w:val="00A95FE1"/>
    <w:rsid w:val="00A96D5F"/>
    <w:rsid w:val="00A9715F"/>
    <w:rsid w:val="00AB2C78"/>
    <w:rsid w:val="00AB31EB"/>
    <w:rsid w:val="00AB3488"/>
    <w:rsid w:val="00AB3D51"/>
    <w:rsid w:val="00AB4D8E"/>
    <w:rsid w:val="00AC00FF"/>
    <w:rsid w:val="00AC26F2"/>
    <w:rsid w:val="00AC636E"/>
    <w:rsid w:val="00AD4A90"/>
    <w:rsid w:val="00AD635D"/>
    <w:rsid w:val="00AD692A"/>
    <w:rsid w:val="00AD7F3A"/>
    <w:rsid w:val="00AF06D1"/>
    <w:rsid w:val="00AF2C3B"/>
    <w:rsid w:val="00AF5387"/>
    <w:rsid w:val="00B00CF8"/>
    <w:rsid w:val="00B061C6"/>
    <w:rsid w:val="00B11E11"/>
    <w:rsid w:val="00B12B9D"/>
    <w:rsid w:val="00B20216"/>
    <w:rsid w:val="00B22101"/>
    <w:rsid w:val="00B34FED"/>
    <w:rsid w:val="00B42D90"/>
    <w:rsid w:val="00B457B0"/>
    <w:rsid w:val="00B56EEF"/>
    <w:rsid w:val="00B7013D"/>
    <w:rsid w:val="00B9354D"/>
    <w:rsid w:val="00BB029F"/>
    <w:rsid w:val="00BB536E"/>
    <w:rsid w:val="00BC5897"/>
    <w:rsid w:val="00BC7E7D"/>
    <w:rsid w:val="00BD5056"/>
    <w:rsid w:val="00BD6AE2"/>
    <w:rsid w:val="00BE60CA"/>
    <w:rsid w:val="00BF7AB4"/>
    <w:rsid w:val="00C24281"/>
    <w:rsid w:val="00C414CD"/>
    <w:rsid w:val="00C45F4C"/>
    <w:rsid w:val="00C514F3"/>
    <w:rsid w:val="00C544B5"/>
    <w:rsid w:val="00C57CA3"/>
    <w:rsid w:val="00C80A49"/>
    <w:rsid w:val="00C81A5F"/>
    <w:rsid w:val="00C86C02"/>
    <w:rsid w:val="00C871E9"/>
    <w:rsid w:val="00C87A48"/>
    <w:rsid w:val="00C910B2"/>
    <w:rsid w:val="00C91EFB"/>
    <w:rsid w:val="00C94433"/>
    <w:rsid w:val="00CA652E"/>
    <w:rsid w:val="00CA6556"/>
    <w:rsid w:val="00CB0186"/>
    <w:rsid w:val="00CB152E"/>
    <w:rsid w:val="00CB1F5E"/>
    <w:rsid w:val="00CB29AE"/>
    <w:rsid w:val="00CB2DD1"/>
    <w:rsid w:val="00CB7B2B"/>
    <w:rsid w:val="00CC014B"/>
    <w:rsid w:val="00CC47AC"/>
    <w:rsid w:val="00CC532C"/>
    <w:rsid w:val="00CC7738"/>
    <w:rsid w:val="00CD0E61"/>
    <w:rsid w:val="00CD32F5"/>
    <w:rsid w:val="00CF1A9E"/>
    <w:rsid w:val="00CF4B1B"/>
    <w:rsid w:val="00D008B7"/>
    <w:rsid w:val="00D02EE1"/>
    <w:rsid w:val="00D073DD"/>
    <w:rsid w:val="00D34B77"/>
    <w:rsid w:val="00D3596C"/>
    <w:rsid w:val="00D500D7"/>
    <w:rsid w:val="00D6677F"/>
    <w:rsid w:val="00D71081"/>
    <w:rsid w:val="00D74631"/>
    <w:rsid w:val="00D807B2"/>
    <w:rsid w:val="00D94C77"/>
    <w:rsid w:val="00D95CF2"/>
    <w:rsid w:val="00DA0DD4"/>
    <w:rsid w:val="00DA0DFB"/>
    <w:rsid w:val="00DC1183"/>
    <w:rsid w:val="00DC4860"/>
    <w:rsid w:val="00DC6490"/>
    <w:rsid w:val="00DD6DDE"/>
    <w:rsid w:val="00DE608F"/>
    <w:rsid w:val="00DF2C7F"/>
    <w:rsid w:val="00E0019B"/>
    <w:rsid w:val="00E056AA"/>
    <w:rsid w:val="00E10D71"/>
    <w:rsid w:val="00E11744"/>
    <w:rsid w:val="00E213EC"/>
    <w:rsid w:val="00E21F3F"/>
    <w:rsid w:val="00E25147"/>
    <w:rsid w:val="00E406E5"/>
    <w:rsid w:val="00E54816"/>
    <w:rsid w:val="00E71A7A"/>
    <w:rsid w:val="00E90B16"/>
    <w:rsid w:val="00E912B2"/>
    <w:rsid w:val="00E97C54"/>
    <w:rsid w:val="00EB5288"/>
    <w:rsid w:val="00EC6FA7"/>
    <w:rsid w:val="00ED28A5"/>
    <w:rsid w:val="00ED7358"/>
    <w:rsid w:val="00EE6632"/>
    <w:rsid w:val="00EF33F2"/>
    <w:rsid w:val="00F14623"/>
    <w:rsid w:val="00F16A00"/>
    <w:rsid w:val="00F24B9F"/>
    <w:rsid w:val="00F34B99"/>
    <w:rsid w:val="00F37502"/>
    <w:rsid w:val="00F40413"/>
    <w:rsid w:val="00F4100B"/>
    <w:rsid w:val="00F41E84"/>
    <w:rsid w:val="00F421BA"/>
    <w:rsid w:val="00F42559"/>
    <w:rsid w:val="00F4599B"/>
    <w:rsid w:val="00F45BA6"/>
    <w:rsid w:val="00F45BD2"/>
    <w:rsid w:val="00F549A3"/>
    <w:rsid w:val="00F60B11"/>
    <w:rsid w:val="00F67FC7"/>
    <w:rsid w:val="00F74417"/>
    <w:rsid w:val="00F777E0"/>
    <w:rsid w:val="00F80510"/>
    <w:rsid w:val="00F82DDC"/>
    <w:rsid w:val="00F83122"/>
    <w:rsid w:val="00F8775F"/>
    <w:rsid w:val="00FB27F8"/>
    <w:rsid w:val="00FB79D6"/>
    <w:rsid w:val="00FC033B"/>
    <w:rsid w:val="00FC1130"/>
    <w:rsid w:val="00FC6E0F"/>
    <w:rsid w:val="00FD30FF"/>
    <w:rsid w:val="00FE0FCA"/>
    <w:rsid w:val="00FF2734"/>
    <w:rsid w:val="00FF4458"/>
    <w:rsid w:val="00FF730F"/>
    <w:rsid w:val="05976809"/>
    <w:rsid w:val="07D062C5"/>
    <w:rsid w:val="09B56A88"/>
    <w:rsid w:val="17B40B54"/>
    <w:rsid w:val="1FFC753C"/>
    <w:rsid w:val="2A962719"/>
    <w:rsid w:val="2DA3202D"/>
    <w:rsid w:val="2F380AB3"/>
    <w:rsid w:val="30F009F7"/>
    <w:rsid w:val="3CB16F66"/>
    <w:rsid w:val="3E2E7003"/>
    <w:rsid w:val="3F7D78FA"/>
    <w:rsid w:val="412F10C8"/>
    <w:rsid w:val="41424DA2"/>
    <w:rsid w:val="419158DF"/>
    <w:rsid w:val="4B72052F"/>
    <w:rsid w:val="4BA803F5"/>
    <w:rsid w:val="4C7A16AE"/>
    <w:rsid w:val="4C922150"/>
    <w:rsid w:val="4C9A7AE8"/>
    <w:rsid w:val="4E1F6BA9"/>
    <w:rsid w:val="53DD1810"/>
    <w:rsid w:val="54A84FC1"/>
    <w:rsid w:val="5518409F"/>
    <w:rsid w:val="561346BC"/>
    <w:rsid w:val="59AE5B50"/>
    <w:rsid w:val="5D7F7CF2"/>
    <w:rsid w:val="622D096A"/>
    <w:rsid w:val="662D54BF"/>
    <w:rsid w:val="6675388E"/>
    <w:rsid w:val="67076A29"/>
    <w:rsid w:val="67A76795"/>
    <w:rsid w:val="68BE670A"/>
    <w:rsid w:val="6FEB04DC"/>
    <w:rsid w:val="71FB521C"/>
    <w:rsid w:val="7CE54755"/>
    <w:rsid w:val="7F5434CC"/>
    <w:rsid w:val="7FC07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14"/>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1"/>
      <w:szCs w:val="21"/>
      <w:lang w:val="en-US" w:eastAsia="en-US" w:bidi="ar-SA"/>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Subtle Reference1"/>
    <w:qFormat/>
    <w:uiPriority w:val="0"/>
    <w:rPr>
      <w:rFonts w:ascii="Calibri" w:hAnsi="Calibri" w:eastAsia="宋体" w:cs="Times New Roman"/>
      <w:i/>
      <w:iCs/>
      <w:color w:val="612422"/>
    </w:rPr>
  </w:style>
  <w:style w:type="character" w:customStyle="1" w:styleId="14">
    <w:name w:val="标题 1 字符"/>
    <w:basedOn w:val="9"/>
    <w:link w:val="2"/>
    <w:qFormat/>
    <w:uiPriority w:val="9"/>
    <w:rPr>
      <w:rFonts w:ascii="宋体" w:hAnsi="宋体" w:eastAsia="宋体" w:cs="宋体"/>
      <w:b/>
      <w:bCs/>
      <w:kern w:val="36"/>
      <w:sz w:val="48"/>
      <w:szCs w:val="48"/>
    </w:rPr>
  </w:style>
  <w:style w:type="paragraph" w:customStyle="1" w:styleId="15">
    <w:name w:val="Table Text"/>
    <w:basedOn w:val="1"/>
    <w:semiHidden/>
    <w:qFormat/>
    <w:uiPriority w:val="0"/>
    <w:rPr>
      <w:rFonts w:ascii="宋体" w:hAnsi="宋体" w:eastAsia="宋体" w:cs="宋体"/>
      <w:sz w:val="18"/>
      <w:szCs w:val="18"/>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3611</Words>
  <Characters>3705</Characters>
  <Lines>136</Lines>
  <Paragraphs>38</Paragraphs>
  <TotalTime>9</TotalTime>
  <ScaleCrop>false</ScaleCrop>
  <LinksUpToDate>false</LinksUpToDate>
  <CharactersWithSpaces>3770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2025-07-16T02:53:00Z</dcterms:created>
  <dc:creator>zilong song</dc:creator>
  <cp:lastModifiedBy>超级无敌</cp:lastModifiedBy>
  <dcterms:modified xsi:type="dcterms:W3CDTF">2026-03-19T08:08:55Z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eyJoZGlkIjoiYWIwYTBmMzY1NzliNzgyZjEwMGZmYzVmMWVhMDQ1NzIiLCJ1c2VySWQiOiI2NzY1MzEzNjYifQ==</vt:lpwstr>
  </property>
  <property fmtid="{D5CDD505-2E9C-101B-9397-08002B2CF9AE}" pid="3" name="KSOProductBuildVer">
    <vt:lpwstr>2052-12.1.0.25222</vt:lpwstr>
  </property>
  <property fmtid="{D5CDD505-2E9C-101B-9397-08002B2CF9AE}" pid="4" name="ICV">
    <vt:lpwstr>A55EFA356EDA40A0939467D3E4847FD1_13</vt:lpwstr>
  </property>
</Properties>
</file>